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D6" w:rsidRPr="00B475F1" w:rsidRDefault="004A72D6" w:rsidP="004A72D6">
      <w:pPr>
        <w:jc w:val="center"/>
        <w:rPr>
          <w:rFonts w:ascii="Calibri" w:hAnsi="Calibri" w:cs="Calibri"/>
          <w:szCs w:val="22"/>
          <w:lang w:val="es-ES_tradnl"/>
        </w:rPr>
      </w:pPr>
    </w:p>
    <w:p w:rsidR="00361919" w:rsidRDefault="00361919" w:rsidP="00436CD2">
      <w:pPr>
        <w:jc w:val="center"/>
        <w:rPr>
          <w:rFonts w:ascii="Calibri" w:hAnsi="Calibri" w:cs="Calibri"/>
          <w:b/>
          <w:sz w:val="40"/>
          <w:szCs w:val="40"/>
          <w:lang w:val="es-ES_tradnl"/>
        </w:rPr>
      </w:pPr>
      <w:r>
        <w:rPr>
          <w:rFonts w:ascii="Calibri" w:hAnsi="Calibri" w:cs="Calibri"/>
          <w:b/>
          <w:sz w:val="40"/>
          <w:szCs w:val="40"/>
          <w:lang w:val="es-ES_tradnl"/>
        </w:rPr>
        <w:t>Las Corporaciones Locales podrán invertir sus superávits de 2017</w:t>
      </w:r>
      <w:r w:rsidR="005C2171">
        <w:rPr>
          <w:rFonts w:ascii="Calibri" w:hAnsi="Calibri" w:cs="Calibri"/>
          <w:b/>
          <w:sz w:val="40"/>
          <w:szCs w:val="40"/>
          <w:lang w:val="es-ES_tradnl"/>
        </w:rPr>
        <w:t>, más de 5.000 millones de euros</w:t>
      </w:r>
    </w:p>
    <w:p w:rsidR="005C2171" w:rsidRDefault="005C2171" w:rsidP="00436CD2">
      <w:pPr>
        <w:jc w:val="center"/>
        <w:rPr>
          <w:rFonts w:ascii="Calibri" w:hAnsi="Calibri" w:cs="Calibri"/>
          <w:b/>
          <w:sz w:val="40"/>
          <w:szCs w:val="40"/>
          <w:lang w:val="es-ES_tradnl"/>
        </w:rPr>
      </w:pPr>
    </w:p>
    <w:p w:rsidR="00361919" w:rsidRPr="005C2171" w:rsidRDefault="00361919" w:rsidP="00436CD2">
      <w:pPr>
        <w:jc w:val="center"/>
        <w:rPr>
          <w:rFonts w:ascii="Calibri" w:hAnsi="Calibri" w:cs="Calibri"/>
          <w:b/>
          <w:i/>
          <w:sz w:val="28"/>
          <w:szCs w:val="28"/>
          <w:lang w:val="es-ES_tradnl"/>
        </w:rPr>
      </w:pPr>
      <w:r w:rsidRPr="005C2171">
        <w:rPr>
          <w:rFonts w:ascii="Calibri" w:hAnsi="Calibri" w:cs="Calibri"/>
          <w:b/>
          <w:i/>
          <w:sz w:val="28"/>
          <w:szCs w:val="28"/>
          <w:lang w:val="es-ES_tradnl"/>
        </w:rPr>
        <w:t xml:space="preserve">El Gobierno se compromete a elaborar en dos semanas una normativa que haga posible las inversiones durante </w:t>
      </w:r>
      <w:r w:rsidR="005C6390">
        <w:rPr>
          <w:rFonts w:ascii="Calibri" w:hAnsi="Calibri" w:cs="Calibri"/>
          <w:b/>
          <w:i/>
          <w:sz w:val="28"/>
          <w:szCs w:val="28"/>
          <w:lang w:val="es-ES_tradnl"/>
        </w:rPr>
        <w:t>2018 y 2019</w:t>
      </w:r>
      <w:r w:rsidRPr="005C2171">
        <w:rPr>
          <w:rFonts w:ascii="Calibri" w:hAnsi="Calibri" w:cs="Calibri"/>
          <w:b/>
          <w:i/>
          <w:sz w:val="28"/>
          <w:szCs w:val="28"/>
          <w:lang w:val="es-ES_tradnl"/>
        </w:rPr>
        <w:t xml:space="preserve"> </w:t>
      </w:r>
    </w:p>
    <w:p w:rsidR="00361919" w:rsidRPr="005C2171" w:rsidRDefault="00361919" w:rsidP="00436CD2">
      <w:pPr>
        <w:jc w:val="center"/>
        <w:rPr>
          <w:rFonts w:ascii="Calibri" w:hAnsi="Calibri" w:cs="Calibri"/>
          <w:b/>
          <w:i/>
          <w:sz w:val="28"/>
          <w:szCs w:val="28"/>
          <w:lang w:val="es-ES_tradnl"/>
        </w:rPr>
      </w:pPr>
    </w:p>
    <w:p w:rsidR="004A72D6" w:rsidRPr="005C2171" w:rsidRDefault="00361919" w:rsidP="00436CD2">
      <w:pPr>
        <w:jc w:val="center"/>
        <w:rPr>
          <w:rFonts w:ascii="Calibri" w:hAnsi="Calibri" w:cs="Calibri"/>
          <w:b/>
          <w:i/>
          <w:sz w:val="28"/>
          <w:szCs w:val="28"/>
          <w:lang w:val="es-ES_tradnl"/>
        </w:rPr>
      </w:pPr>
      <w:r w:rsidRPr="005C2171">
        <w:rPr>
          <w:rFonts w:ascii="Calibri" w:hAnsi="Calibri" w:cs="Calibri"/>
          <w:b/>
          <w:i/>
          <w:sz w:val="28"/>
          <w:szCs w:val="28"/>
          <w:lang w:val="es-ES_tradnl"/>
        </w:rPr>
        <w:t>La FEMP remitirá a</w:t>
      </w:r>
      <w:r w:rsidR="005C2171" w:rsidRPr="005C2171">
        <w:rPr>
          <w:rFonts w:ascii="Calibri" w:hAnsi="Calibri" w:cs="Calibri"/>
          <w:b/>
          <w:i/>
          <w:sz w:val="28"/>
          <w:szCs w:val="28"/>
          <w:lang w:val="es-ES_tradnl"/>
        </w:rPr>
        <w:t>l Ministerio un listado con nuevos ámbitos sectoriales que hasta ahora no estaban contemplados como inversiones financieramente sostenibles</w:t>
      </w:r>
    </w:p>
    <w:p w:rsidR="00901E26" w:rsidRPr="00B475F1" w:rsidRDefault="00901E26" w:rsidP="004A72D6">
      <w:pPr>
        <w:jc w:val="center"/>
        <w:rPr>
          <w:rFonts w:ascii="Calibri" w:hAnsi="Calibri" w:cs="Calibri"/>
          <w:b/>
          <w:sz w:val="40"/>
          <w:szCs w:val="40"/>
          <w:lang w:val="es-ES_tradnl"/>
        </w:rPr>
      </w:pPr>
    </w:p>
    <w:p w:rsidR="004A72D6" w:rsidRPr="00B475F1" w:rsidRDefault="004A72D6" w:rsidP="00901E26">
      <w:pPr>
        <w:spacing w:line="276" w:lineRule="auto"/>
        <w:rPr>
          <w:rFonts w:ascii="Calibri" w:hAnsi="Calibri" w:cs="Calibri"/>
          <w:szCs w:val="22"/>
          <w:lang w:val="es-ES_tradnl"/>
        </w:rPr>
      </w:pPr>
    </w:p>
    <w:p w:rsidR="005C2171" w:rsidRDefault="008F664E" w:rsidP="009D4D6B">
      <w:pPr>
        <w:tabs>
          <w:tab w:val="left" w:pos="8280"/>
        </w:tabs>
        <w:spacing w:line="280" w:lineRule="exact"/>
        <w:ind w:right="44"/>
        <w:jc w:val="both"/>
        <w:rPr>
          <w:rFonts w:ascii="Calibri" w:hAnsi="Calibri" w:cs="Calibri"/>
          <w:szCs w:val="24"/>
          <w:lang w:val="es-ES_tradnl"/>
        </w:rPr>
      </w:pPr>
      <w:r w:rsidRPr="00B475F1">
        <w:rPr>
          <w:rFonts w:ascii="Calibri" w:hAnsi="Calibri" w:cs="Calibri"/>
          <w:i/>
          <w:szCs w:val="24"/>
          <w:u w:val="single"/>
          <w:lang w:val="es-ES_tradnl"/>
        </w:rPr>
        <w:t>Madrid,</w:t>
      </w:r>
      <w:r w:rsidR="00165C15">
        <w:rPr>
          <w:rFonts w:ascii="Calibri" w:hAnsi="Calibri" w:cs="Calibri"/>
          <w:i/>
          <w:szCs w:val="24"/>
          <w:u w:val="single"/>
          <w:lang w:val="es-ES_tradnl"/>
        </w:rPr>
        <w:t xml:space="preserve"> 26 de febrero de 2018</w:t>
      </w:r>
      <w:r w:rsidR="00165C15">
        <w:rPr>
          <w:rFonts w:ascii="Calibri" w:hAnsi="Calibri" w:cs="Calibri"/>
          <w:szCs w:val="24"/>
          <w:lang w:val="es-ES_tradnl"/>
        </w:rPr>
        <w:t xml:space="preserve">.- “Los Ayuntamientos </w:t>
      </w:r>
      <w:r w:rsidR="005C2171">
        <w:rPr>
          <w:rFonts w:ascii="Calibri" w:hAnsi="Calibri" w:cs="Calibri"/>
          <w:szCs w:val="24"/>
          <w:lang w:val="es-ES_tradnl"/>
        </w:rPr>
        <w:t>destinaremos</w:t>
      </w:r>
      <w:r w:rsidR="00165C15">
        <w:rPr>
          <w:rFonts w:ascii="Calibri" w:hAnsi="Calibri" w:cs="Calibri"/>
          <w:szCs w:val="24"/>
          <w:lang w:val="es-ES_tradnl"/>
        </w:rPr>
        <w:t xml:space="preserve"> los superávits en cada una de nuestras ciudades, y podremos utilizarlo</w:t>
      </w:r>
      <w:r w:rsidR="005C2171">
        <w:rPr>
          <w:rFonts w:ascii="Calibri" w:hAnsi="Calibri" w:cs="Calibri"/>
          <w:szCs w:val="24"/>
          <w:lang w:val="es-ES_tradnl"/>
        </w:rPr>
        <w:t>s</w:t>
      </w:r>
      <w:r w:rsidR="00165C15">
        <w:rPr>
          <w:rFonts w:ascii="Calibri" w:hAnsi="Calibri" w:cs="Calibri"/>
          <w:szCs w:val="24"/>
          <w:lang w:val="es-ES_tradnl"/>
        </w:rPr>
        <w:t xml:space="preserve"> en 2018 y 2019”</w:t>
      </w:r>
      <w:r w:rsidR="00361919">
        <w:rPr>
          <w:rFonts w:ascii="Calibri" w:hAnsi="Calibri" w:cs="Calibri"/>
          <w:szCs w:val="24"/>
          <w:lang w:val="es-ES_tradnl"/>
        </w:rPr>
        <w:t>, según ha anunciado el Presidente de la FEMP, Abel Caballero, tras la reunión mantenida esta tarde entre los máximos representantes de la FEMP y los del Ministerio de Hacienda y Función Pública, encabezados po</w:t>
      </w:r>
      <w:r w:rsidR="005C2171">
        <w:rPr>
          <w:rFonts w:ascii="Calibri" w:hAnsi="Calibri" w:cs="Calibri"/>
          <w:szCs w:val="24"/>
          <w:lang w:val="es-ES_tradnl"/>
        </w:rPr>
        <w:t>r su titular, Cristóbal Montoro</w:t>
      </w:r>
      <w:r w:rsidR="005C6390">
        <w:rPr>
          <w:rFonts w:ascii="Calibri" w:hAnsi="Calibri" w:cs="Calibri"/>
          <w:szCs w:val="24"/>
          <w:lang w:val="es-ES_tradnl"/>
        </w:rPr>
        <w:t>.</w:t>
      </w:r>
      <w:r w:rsidR="005C2171">
        <w:rPr>
          <w:rFonts w:ascii="Calibri" w:hAnsi="Calibri" w:cs="Calibri"/>
          <w:szCs w:val="24"/>
          <w:lang w:val="es-ES_tradnl"/>
        </w:rPr>
        <w:t xml:space="preserve"> </w:t>
      </w:r>
    </w:p>
    <w:p w:rsidR="005C2171" w:rsidRDefault="005C2171" w:rsidP="009D4D6B">
      <w:pPr>
        <w:tabs>
          <w:tab w:val="left" w:pos="8280"/>
        </w:tabs>
        <w:spacing w:line="280" w:lineRule="exact"/>
        <w:ind w:right="44"/>
        <w:jc w:val="both"/>
        <w:rPr>
          <w:rFonts w:ascii="Calibri" w:hAnsi="Calibri" w:cs="Calibri"/>
          <w:szCs w:val="24"/>
          <w:lang w:val="es-ES_tradnl"/>
        </w:rPr>
      </w:pPr>
    </w:p>
    <w:p w:rsidR="005C2171" w:rsidRDefault="005C2171" w:rsidP="009D4D6B">
      <w:pPr>
        <w:tabs>
          <w:tab w:val="left" w:pos="8280"/>
        </w:tabs>
        <w:spacing w:line="280" w:lineRule="exact"/>
        <w:ind w:right="44"/>
        <w:jc w:val="both"/>
        <w:rPr>
          <w:rFonts w:ascii="Calibri" w:hAnsi="Calibri" w:cs="Calibri"/>
          <w:szCs w:val="24"/>
          <w:lang w:val="es-ES_tradnl"/>
        </w:rPr>
      </w:pPr>
      <w:r>
        <w:rPr>
          <w:rFonts w:ascii="Calibri" w:hAnsi="Calibri" w:cs="Calibri"/>
          <w:szCs w:val="24"/>
          <w:lang w:val="es-ES_tradnl"/>
        </w:rPr>
        <w:t xml:space="preserve">En el encuentro, </w:t>
      </w:r>
      <w:r>
        <w:rPr>
          <w:rFonts w:ascii="Calibri" w:hAnsi="Calibri" w:cs="Calibri"/>
          <w:szCs w:val="22"/>
          <w:lang w:val="es-ES_tradnl"/>
        </w:rPr>
        <w:t>desarrollad</w:t>
      </w:r>
      <w:r>
        <w:rPr>
          <w:rFonts w:ascii="Calibri" w:hAnsi="Calibri" w:cs="Calibri"/>
          <w:szCs w:val="22"/>
          <w:lang w:val="es-ES_tradnl"/>
        </w:rPr>
        <w:t>o</w:t>
      </w:r>
      <w:r>
        <w:rPr>
          <w:rFonts w:ascii="Calibri" w:hAnsi="Calibri" w:cs="Calibri"/>
          <w:szCs w:val="22"/>
          <w:lang w:val="es-ES_tradnl"/>
        </w:rPr>
        <w:t xml:space="preserve"> en un clima “agradable y amable”</w:t>
      </w:r>
      <w:r>
        <w:rPr>
          <w:rFonts w:ascii="Calibri" w:hAnsi="Calibri" w:cs="Calibri"/>
          <w:szCs w:val="24"/>
          <w:lang w:val="es-ES_tradnl"/>
        </w:rPr>
        <w:t>, en palabras de Caballero, el Ministro se comprometió a dar respuesta a la inversión del superávit en un plazo de dos semanas. Y dado que la Ley de Presupuestos Generales del Estado aún no ha sido aprobada,  el Gobierno se ha comprometido poner en marcha un Decreto Ley, a estos efectos.</w:t>
      </w:r>
    </w:p>
    <w:p w:rsidR="00863199" w:rsidRDefault="00863199" w:rsidP="009D4D6B">
      <w:pPr>
        <w:tabs>
          <w:tab w:val="left" w:pos="8280"/>
        </w:tabs>
        <w:spacing w:line="280" w:lineRule="exact"/>
        <w:ind w:right="44"/>
        <w:jc w:val="both"/>
        <w:rPr>
          <w:rFonts w:ascii="Calibri" w:hAnsi="Calibri" w:cs="Calibri"/>
          <w:szCs w:val="24"/>
          <w:lang w:val="es-ES_tradnl"/>
        </w:rPr>
      </w:pPr>
    </w:p>
    <w:p w:rsidR="00863199" w:rsidRDefault="00863199" w:rsidP="009D4D6B">
      <w:pPr>
        <w:tabs>
          <w:tab w:val="left" w:pos="8280"/>
        </w:tabs>
        <w:spacing w:line="280" w:lineRule="exact"/>
        <w:ind w:right="44"/>
        <w:jc w:val="both"/>
        <w:rPr>
          <w:rFonts w:ascii="Calibri" w:hAnsi="Calibri" w:cs="Calibri"/>
          <w:szCs w:val="24"/>
          <w:lang w:val="es-ES_tradnl"/>
        </w:rPr>
      </w:pPr>
      <w:r>
        <w:rPr>
          <w:rFonts w:ascii="Calibri" w:hAnsi="Calibri" w:cs="Calibri"/>
          <w:szCs w:val="24"/>
          <w:lang w:val="es-ES_tradnl"/>
        </w:rPr>
        <w:t xml:space="preserve">Otra de las demandas de la Federación, relativa a la incorporación de nuevos ámbitos como inversiones financieramente sostenibles, también ha sido bien recibida por el Ministerio, al que, según Caballero, se le remitirá a la mayor brevedad desde la FEMP un listado con las materias susceptibles de tener esta consideración (educación, </w:t>
      </w:r>
      <w:r w:rsidR="005C6390">
        <w:rPr>
          <w:rFonts w:ascii="Calibri" w:hAnsi="Calibri" w:cs="Calibri"/>
          <w:szCs w:val="24"/>
          <w:lang w:val="es-ES_tradnl"/>
        </w:rPr>
        <w:t>seguridad o</w:t>
      </w:r>
      <w:bookmarkStart w:id="0" w:name="_GoBack"/>
      <w:bookmarkEnd w:id="0"/>
      <w:r>
        <w:rPr>
          <w:rFonts w:ascii="Calibri" w:hAnsi="Calibri" w:cs="Calibri"/>
          <w:szCs w:val="24"/>
          <w:lang w:val="es-ES_tradnl"/>
        </w:rPr>
        <w:t xml:space="preserve"> </w:t>
      </w:r>
      <w:r w:rsidR="005C6390">
        <w:rPr>
          <w:rFonts w:ascii="Calibri" w:hAnsi="Calibri" w:cs="Calibri"/>
          <w:szCs w:val="24"/>
          <w:lang w:val="es-ES_tradnl"/>
        </w:rPr>
        <w:t>servicios sociales</w:t>
      </w:r>
      <w:r>
        <w:rPr>
          <w:rFonts w:ascii="Calibri" w:hAnsi="Calibri" w:cs="Calibri"/>
          <w:szCs w:val="24"/>
          <w:lang w:val="es-ES_tradnl"/>
        </w:rPr>
        <w:t>)</w:t>
      </w:r>
    </w:p>
    <w:p w:rsidR="00863199" w:rsidRDefault="00863199" w:rsidP="009D4D6B">
      <w:pPr>
        <w:tabs>
          <w:tab w:val="left" w:pos="8280"/>
        </w:tabs>
        <w:spacing w:line="280" w:lineRule="exact"/>
        <w:ind w:right="44"/>
        <w:jc w:val="both"/>
        <w:rPr>
          <w:rFonts w:ascii="Calibri" w:hAnsi="Calibri" w:cs="Calibri"/>
          <w:szCs w:val="24"/>
          <w:lang w:val="es-ES_tradnl"/>
        </w:rPr>
      </w:pPr>
    </w:p>
    <w:p w:rsidR="00863199" w:rsidRDefault="00863199" w:rsidP="009D4D6B">
      <w:pPr>
        <w:tabs>
          <w:tab w:val="left" w:pos="8280"/>
        </w:tabs>
        <w:spacing w:line="280" w:lineRule="exact"/>
        <w:ind w:right="44"/>
        <w:jc w:val="both"/>
        <w:rPr>
          <w:rFonts w:ascii="Calibri" w:hAnsi="Calibri" w:cs="Calibri"/>
          <w:szCs w:val="24"/>
          <w:lang w:val="es-ES_tradnl"/>
        </w:rPr>
      </w:pPr>
      <w:r>
        <w:rPr>
          <w:rFonts w:ascii="Calibri" w:hAnsi="Calibri" w:cs="Calibri"/>
          <w:szCs w:val="24"/>
          <w:lang w:val="es-ES_tradnl"/>
        </w:rPr>
        <w:t>La FEMP estará vigilante para que se cumpla este compromiso, aseguró el Presidente, y la inversión del superávit arranque a la mayor brevedad.</w:t>
      </w:r>
    </w:p>
    <w:p w:rsidR="005C2171" w:rsidRDefault="005C2171" w:rsidP="009D4D6B">
      <w:pPr>
        <w:tabs>
          <w:tab w:val="left" w:pos="8280"/>
        </w:tabs>
        <w:spacing w:line="280" w:lineRule="exact"/>
        <w:ind w:right="44"/>
        <w:jc w:val="both"/>
        <w:rPr>
          <w:rFonts w:ascii="Calibri" w:hAnsi="Calibri" w:cs="Calibri"/>
          <w:szCs w:val="24"/>
          <w:lang w:val="es-ES_tradnl"/>
        </w:rPr>
      </w:pPr>
    </w:p>
    <w:p w:rsidR="00361919" w:rsidRPr="00863199" w:rsidRDefault="00863199" w:rsidP="009D4D6B">
      <w:pPr>
        <w:tabs>
          <w:tab w:val="left" w:pos="8280"/>
        </w:tabs>
        <w:spacing w:line="280" w:lineRule="exact"/>
        <w:ind w:right="44"/>
        <w:jc w:val="both"/>
        <w:rPr>
          <w:rFonts w:ascii="Calibri" w:hAnsi="Calibri" w:cs="Calibri"/>
          <w:b/>
          <w:szCs w:val="24"/>
          <w:lang w:val="es-ES_tradnl"/>
        </w:rPr>
      </w:pPr>
      <w:r w:rsidRPr="00863199">
        <w:rPr>
          <w:rFonts w:ascii="Calibri" w:hAnsi="Calibri" w:cs="Calibri"/>
          <w:b/>
          <w:szCs w:val="24"/>
          <w:lang w:val="es-ES_tradnl"/>
        </w:rPr>
        <w:t>Regla de gasto</w:t>
      </w:r>
    </w:p>
    <w:p w:rsidR="00863199" w:rsidRDefault="00863199" w:rsidP="009D4D6B">
      <w:pPr>
        <w:tabs>
          <w:tab w:val="left" w:pos="8280"/>
        </w:tabs>
        <w:spacing w:line="280" w:lineRule="exact"/>
        <w:ind w:right="44"/>
        <w:jc w:val="both"/>
        <w:rPr>
          <w:rFonts w:ascii="Calibri" w:hAnsi="Calibri" w:cs="Calibri"/>
          <w:szCs w:val="24"/>
          <w:lang w:val="es-ES_tradnl"/>
        </w:rPr>
      </w:pPr>
    </w:p>
    <w:p w:rsidR="00863199" w:rsidRDefault="00863199" w:rsidP="009D4D6B">
      <w:pPr>
        <w:tabs>
          <w:tab w:val="left" w:pos="8280"/>
        </w:tabs>
        <w:spacing w:line="280" w:lineRule="exact"/>
        <w:ind w:right="44"/>
        <w:jc w:val="both"/>
        <w:rPr>
          <w:rFonts w:ascii="Calibri" w:hAnsi="Calibri" w:cs="Calibri"/>
          <w:szCs w:val="24"/>
          <w:lang w:val="es-ES_tradnl"/>
        </w:rPr>
      </w:pPr>
      <w:r>
        <w:rPr>
          <w:rFonts w:ascii="Calibri" w:hAnsi="Calibri" w:cs="Calibri"/>
          <w:szCs w:val="24"/>
          <w:lang w:val="es-ES_tradnl"/>
        </w:rPr>
        <w:t xml:space="preserve">En cuanto a la futura </w:t>
      </w:r>
      <w:r w:rsidR="005A454C">
        <w:rPr>
          <w:rFonts w:ascii="Calibri" w:hAnsi="Calibri" w:cs="Calibri"/>
          <w:szCs w:val="24"/>
          <w:lang w:val="es-ES_tradnl"/>
        </w:rPr>
        <w:t>normativa sobre financiación local, el Ministerio ha dado su aprobación a las demandas locales relativas a desarrollar en paralelo la negociación de las normativas sobre financiación local y autonómica.</w:t>
      </w:r>
    </w:p>
    <w:p w:rsidR="00863199" w:rsidRDefault="00863199" w:rsidP="009D4D6B">
      <w:pPr>
        <w:tabs>
          <w:tab w:val="left" w:pos="8280"/>
        </w:tabs>
        <w:spacing w:line="280" w:lineRule="exact"/>
        <w:ind w:right="44"/>
        <w:jc w:val="both"/>
        <w:rPr>
          <w:rFonts w:ascii="Calibri" w:hAnsi="Calibri" w:cs="Calibri"/>
          <w:szCs w:val="24"/>
          <w:lang w:val="es-ES_tradnl"/>
        </w:rPr>
      </w:pPr>
    </w:p>
    <w:p w:rsidR="005A454C" w:rsidRDefault="005A454C" w:rsidP="009D4D6B">
      <w:pPr>
        <w:tabs>
          <w:tab w:val="left" w:pos="8280"/>
        </w:tabs>
        <w:spacing w:line="280" w:lineRule="exact"/>
        <w:ind w:right="44"/>
        <w:jc w:val="both"/>
        <w:rPr>
          <w:rFonts w:ascii="Calibri" w:hAnsi="Calibri" w:cs="Calibri"/>
          <w:szCs w:val="24"/>
          <w:lang w:val="es-ES_tradnl"/>
        </w:rPr>
      </w:pPr>
      <w:r>
        <w:rPr>
          <w:rFonts w:ascii="Calibri" w:hAnsi="Calibri" w:cs="Calibri"/>
          <w:szCs w:val="24"/>
          <w:lang w:val="es-ES_tradnl"/>
        </w:rPr>
        <w:lastRenderedPageBreak/>
        <w:t xml:space="preserve">Y en cuanto a techo de gasto, la demanda de los Ayuntamientos también ha obtenido una respuesta favorable, según ha asegurado el Presidente de la FEMP. Ante la demanda de un techo de gasto “más racional”, </w:t>
      </w:r>
      <w:r w:rsidR="00863199">
        <w:rPr>
          <w:rFonts w:ascii="Calibri" w:hAnsi="Calibri" w:cs="Calibri"/>
          <w:szCs w:val="24"/>
          <w:lang w:val="es-ES_tradnl"/>
        </w:rPr>
        <w:t>Montoro</w:t>
      </w:r>
      <w:r>
        <w:rPr>
          <w:rFonts w:ascii="Calibri" w:hAnsi="Calibri" w:cs="Calibri"/>
          <w:szCs w:val="24"/>
          <w:lang w:val="es-ES_tradnl"/>
        </w:rPr>
        <w:t xml:space="preserve"> ha anunciado que está abierto a la negociación dxel mismo para alcanzar un “techo de gasto más eficiente”.</w:t>
      </w:r>
    </w:p>
    <w:p w:rsidR="005A454C" w:rsidRDefault="005A454C" w:rsidP="009D4D6B">
      <w:pPr>
        <w:tabs>
          <w:tab w:val="left" w:pos="8280"/>
        </w:tabs>
        <w:spacing w:line="280" w:lineRule="exact"/>
        <w:ind w:right="44"/>
        <w:jc w:val="both"/>
        <w:rPr>
          <w:rFonts w:ascii="Calibri" w:hAnsi="Calibri" w:cs="Calibri"/>
          <w:szCs w:val="24"/>
          <w:lang w:val="es-ES_tradnl"/>
        </w:rPr>
      </w:pPr>
    </w:p>
    <w:p w:rsidR="00165C15" w:rsidRDefault="00165C15" w:rsidP="004A72D6">
      <w:pPr>
        <w:jc w:val="both"/>
        <w:rPr>
          <w:rFonts w:ascii="Calibri" w:hAnsi="Calibri" w:cs="Calibri"/>
          <w:szCs w:val="22"/>
          <w:lang w:val="es-ES_tradnl"/>
        </w:rPr>
      </w:pPr>
    </w:p>
    <w:sectPr w:rsidR="00165C15">
      <w:headerReference w:type="default" r:id="rId7"/>
      <w:footerReference w:type="even" r:id="rId8"/>
      <w:footerReference w:type="default" r:id="rId9"/>
      <w:headerReference w:type="first" r:id="rId10"/>
      <w:footerReference w:type="first" r:id="rId11"/>
      <w:pgSz w:w="11906" w:h="16838" w:code="9"/>
      <w:pgMar w:top="3402" w:right="1418" w:bottom="1418" w:left="1559" w:header="215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15" w:rsidRDefault="00165C15">
      <w:r>
        <w:separator/>
      </w:r>
    </w:p>
  </w:endnote>
  <w:endnote w:type="continuationSeparator" w:id="0">
    <w:p w:rsidR="00165C15" w:rsidRDefault="0016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Std">
    <w:panose1 w:val="00000000000000000000"/>
    <w:charset w:val="00"/>
    <w:family w:val="swiss"/>
    <w:notTrueType/>
    <w:pitch w:val="variable"/>
    <w:sig w:usb0="00000003" w:usb1="00000000" w:usb2="00000000" w:usb3="00000000" w:csb0="00000001" w:csb1="00000000"/>
  </w:font>
  <w:font w:name="TradeGothic Light">
    <w:altName w:val="Courier New"/>
    <w:charset w:val="00"/>
    <w:family w:val="auto"/>
    <w:pitch w:val="variable"/>
    <w:sig w:usb0="03000000"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 w:name="HelveticaNeue-Heavy">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436CD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6CD2" w:rsidRDefault="00436CD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436CD2">
    <w:pPr>
      <w:pStyle w:val="Piedepgina"/>
      <w:framePr w:w="1261" w:wrap="around" w:vAnchor="text" w:hAnchor="page" w:x="10626" w:y="-278"/>
      <w:rPr>
        <w:rStyle w:val="Nmerodepgina"/>
        <w:rFonts w:ascii="Frutiger 45 Light" w:hAnsi="Frutiger 45 Light"/>
        <w:sz w:val="14"/>
      </w:rPr>
    </w:pPr>
    <w:r>
      <w:rPr>
        <w:rStyle w:val="Nmerodepgina"/>
        <w:rFonts w:ascii="Frutiger 45 Light" w:hAnsi="Frutiger 45 Light"/>
        <w:sz w:val="14"/>
      </w:rPr>
      <w:fldChar w:fldCharType="begin"/>
    </w:r>
    <w:r>
      <w:rPr>
        <w:rStyle w:val="Nmerodepgina"/>
        <w:rFonts w:ascii="Frutiger 45 Light" w:hAnsi="Frutiger 45 Light"/>
        <w:sz w:val="14"/>
      </w:rPr>
      <w:instrText xml:space="preserve">PAGE  </w:instrText>
    </w:r>
    <w:r>
      <w:rPr>
        <w:rStyle w:val="Nmerodepgina"/>
        <w:rFonts w:ascii="Frutiger 45 Light" w:hAnsi="Frutiger 45 Light"/>
        <w:sz w:val="14"/>
      </w:rPr>
      <w:fldChar w:fldCharType="separate"/>
    </w:r>
    <w:r w:rsidR="005A454C">
      <w:rPr>
        <w:rStyle w:val="Nmerodepgina"/>
        <w:rFonts w:ascii="Frutiger 45 Light" w:hAnsi="Frutiger 45 Light"/>
        <w:noProof/>
        <w:sz w:val="14"/>
      </w:rPr>
      <w:t>2</w:t>
    </w:r>
    <w:r>
      <w:rPr>
        <w:rStyle w:val="Nmerodepgina"/>
        <w:rFonts w:ascii="Frutiger 45 Light" w:hAnsi="Frutiger 45 Light"/>
        <w:sz w:val="14"/>
      </w:rPr>
      <w:fldChar w:fldCharType="end"/>
    </w:r>
  </w:p>
  <w:p w:rsidR="00436CD2" w:rsidRDefault="00436CD2">
    <w:pPr>
      <w:pStyle w:val="Piedepgina"/>
      <w:rPr>
        <w:rFonts w:ascii="News Gothic Std" w:hAnsi="News Gothic Std"/>
        <w:color w:val="00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9D4D6B">
    <w:pPr>
      <w:ind w:left="567"/>
      <w:rPr>
        <w:rFonts w:ascii="Book Antiqua" w:hAnsi="Book Antiqua"/>
        <w:color w:val="1542A3"/>
        <w:sz w:val="14"/>
      </w:rPr>
    </w:pPr>
    <w:r>
      <w:rPr>
        <w:rFonts w:ascii="HelveticaNeue-Heavy" w:hAnsi="HelveticaNeue-Heavy"/>
        <w:noProof/>
        <w:color w:val="1542A3"/>
        <w:sz w:val="14"/>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-15240</wp:posOffset>
              </wp:positionV>
              <wp:extent cx="0" cy="152400"/>
              <wp:effectExtent l="9525" t="13335" r="9525" b="571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9311"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rFAIAACgEAAAOAAAAZHJzL2Uyb0RvYy54bWysU9uu2jAQfK/Uf7D8Dkk4gUJ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" strokecolor="#969696" strokeweight=".5pt"/>
          </w:pict>
        </mc:Fallback>
      </mc:AlternateContent>
    </w:r>
    <w:r w:rsidR="00436CD2">
      <w:rPr>
        <w:rFonts w:ascii="HelveticaNeue-Heavy" w:hAnsi="HelveticaNeue-Heavy"/>
        <w:color w:val="1542A3"/>
        <w:sz w:val="14"/>
      </w:rPr>
      <w:t>FEMP</w:t>
    </w:r>
    <w:r w:rsidR="00436CD2">
      <w:rPr>
        <w:rFonts w:ascii="HelveticaNeue-Heavy" w:hAnsi="HelveticaNeue-Heavy"/>
        <w:color w:val="0000FF"/>
        <w:sz w:val="14"/>
      </w:rPr>
      <w:t xml:space="preserve"> </w:t>
    </w:r>
    <w:r w:rsidR="00436CD2">
      <w:rPr>
        <w:rFonts w:ascii="Book Antiqua" w:hAnsi="Book Antiqua"/>
        <w:sz w:val="14"/>
      </w:rPr>
      <w:t xml:space="preserve">               </w:t>
    </w:r>
    <w:r w:rsidR="00436CD2">
      <w:rPr>
        <w:rFonts w:ascii="Book Antiqua" w:hAnsi="Book Antiqua"/>
        <w:color w:val="999999"/>
        <w:sz w:val="14"/>
      </w:rPr>
      <w:t xml:space="preserve">c/ Nuncio, 8      28005 Madrid     (T) </w:t>
    </w:r>
    <w:smartTag w:uri="urn:schemas-microsoft-com:office:smarttags" w:element="phone">
      <w:smartTagPr>
        <w:attr w:uri="urn:schemas-microsoft-com:office:office" w:name="ls" w:val="trans"/>
      </w:smartTagPr>
      <w:r w:rsidR="00436CD2">
        <w:rPr>
          <w:rFonts w:ascii="Book Antiqua" w:hAnsi="Book Antiqua"/>
          <w:color w:val="999999"/>
          <w:sz w:val="14"/>
        </w:rPr>
        <w:t>913 643 704</w:t>
      </w:r>
    </w:smartTag>
    <w:r w:rsidR="00436CD2">
      <w:rPr>
        <w:rFonts w:ascii="Book Antiqua" w:hAnsi="Book Antiqua"/>
        <w:color w:val="999999"/>
        <w:sz w:val="14"/>
      </w:rPr>
      <w:t xml:space="preserve">     (F) </w:t>
    </w:r>
    <w:smartTag w:uri="urn:schemas-microsoft-com:office:smarttags" w:element="phone">
      <w:smartTagPr>
        <w:attr w:uri="urn:schemas-microsoft-com:office:office" w:name="ls" w:val="trans"/>
      </w:smartTagPr>
      <w:r w:rsidR="00436CD2">
        <w:rPr>
          <w:rFonts w:ascii="Book Antiqua" w:hAnsi="Book Antiqua"/>
          <w:color w:val="999999"/>
          <w:sz w:val="14"/>
        </w:rPr>
        <w:t>913 652 416</w:t>
      </w:r>
    </w:smartTag>
    <w:r w:rsidR="00436CD2">
      <w:rPr>
        <w:rFonts w:ascii="Book Antiqua" w:hAnsi="Book Antiqua"/>
        <w:color w:val="999999"/>
        <w:sz w:val="14"/>
      </w:rPr>
      <w:t xml:space="preserve">      </w:t>
    </w:r>
    <w:r w:rsidR="00436CD2">
      <w:rPr>
        <w:rFonts w:ascii="Book Antiqua" w:hAnsi="Book Antiqua"/>
        <w:color w:val="1542A3"/>
        <w:sz w:val="14"/>
      </w:rPr>
      <w:t>www.femp.es       comunicacion@femp.es</w:t>
    </w:r>
  </w:p>
  <w:p w:rsidR="00436CD2" w:rsidRDefault="00436CD2">
    <w:pPr>
      <w:pStyle w:val="Piedepgina"/>
      <w:tabs>
        <w:tab w:val="clear" w:pos="4252"/>
        <w:tab w:val="clear" w:pos="8504"/>
        <w:tab w:val="left" w:pos="1500"/>
      </w:tabs>
      <w:rPr>
        <w:color w:val="999999"/>
      </w:rPr>
    </w:pPr>
    <w:r>
      <w:rPr>
        <w:color w:val="99999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15" w:rsidRDefault="00165C15">
      <w:r>
        <w:separator/>
      </w:r>
    </w:p>
  </w:footnote>
  <w:footnote w:type="continuationSeparator" w:id="0">
    <w:p w:rsidR="00165C15" w:rsidRDefault="00165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Default="009D4D6B">
    <w:pPr>
      <w:pStyle w:val="Encabezado"/>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-1397000</wp:posOffset>
          </wp:positionV>
          <wp:extent cx="7562850" cy="1524000"/>
          <wp:effectExtent l="0" t="0" r="0" b="0"/>
          <wp:wrapNone/>
          <wp:docPr id="63" name="Imagen 63"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D2" w:rsidRPr="00901E26" w:rsidRDefault="009D4D6B">
    <w:pPr>
      <w:pStyle w:val="Encabezado"/>
      <w:tabs>
        <w:tab w:val="clear" w:pos="4252"/>
        <w:tab w:val="clear" w:pos="8504"/>
      </w:tabs>
      <w:jc w:val="right"/>
      <w:rPr>
        <w:rFonts w:ascii="Myriad Pro" w:hAnsi="Myriad Pro"/>
        <w:noProof/>
        <w:color w:val="C0C0C0"/>
        <w:sz w:val="60"/>
      </w:rPr>
    </w:pPr>
    <w:r>
      <w:rPr>
        <w:rFonts w:ascii="Myriad Pro" w:hAnsi="Myriad Pro"/>
        <w:noProof/>
        <w:color w:val="C0C0C0"/>
        <w:sz w:val="60"/>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-1397000</wp:posOffset>
          </wp:positionV>
          <wp:extent cx="7562850" cy="1524000"/>
          <wp:effectExtent l="0" t="0" r="0" b="0"/>
          <wp:wrapNone/>
          <wp:docPr id="64" name="Imagen 64" descr="general_f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neral_f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C15">
      <w:rPr>
        <w:rFonts w:ascii="Myriad Pro" w:hAnsi="Myriad Pro"/>
        <w:noProof/>
        <w:color w:val="C0C0C0"/>
        <w:sz w:val="60"/>
      </w:rPr>
      <w:t>Nota dePrens</w:t>
    </w:r>
    <w:r w:rsidR="00436CD2" w:rsidRPr="00901E26">
      <w:rPr>
        <w:rFonts w:ascii="Myriad Pro" w:hAnsi="Myriad Pro"/>
        <w:noProof/>
        <w:color w:val="C0C0C0"/>
        <w:sz w:val="60"/>
      </w:rPr>
      <w:t>a</w:t>
    </w:r>
  </w:p>
  <w:p w:rsidR="00436CD2" w:rsidRDefault="00436CD2">
    <w:pPr>
      <w:pStyle w:val="Encabezado"/>
      <w:jc w:val="right"/>
      <w:rPr>
        <w:rFonts w:ascii="HelveticaNeue-Heavy" w:hAnsi="HelveticaNeue-Heavy"/>
        <w:noProof/>
      </w:rPr>
    </w:pPr>
    <w:r>
      <w:rPr>
        <w:rFonts w:ascii="HelveticaNeue-Heavy" w:hAnsi="HelveticaNeue-Heavy"/>
        <w:noProof/>
        <w:color w:val="1542A3"/>
        <w:sz w:val="20"/>
      </w:rPr>
      <w:t>GABINETE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83EBF"/>
    <w:multiLevelType w:val="hybridMultilevel"/>
    <w:tmpl w:val="65644CE8"/>
    <w:lvl w:ilvl="0" w:tplc="040A0001">
      <w:start w:val="1"/>
      <w:numFmt w:val="bullet"/>
      <w:lvlText w:val=""/>
      <w:lvlJc w:val="left"/>
      <w:pPr>
        <w:tabs>
          <w:tab w:val="num" w:pos="3272"/>
        </w:tabs>
        <w:ind w:left="3272" w:hanging="360"/>
      </w:pPr>
      <w:rPr>
        <w:rFonts w:ascii="Symbol" w:hAnsi="Symbol" w:hint="default"/>
      </w:rPr>
    </w:lvl>
    <w:lvl w:ilvl="1" w:tplc="040A0003" w:tentative="1">
      <w:start w:val="1"/>
      <w:numFmt w:val="bullet"/>
      <w:lvlText w:val="o"/>
      <w:lvlJc w:val="left"/>
      <w:pPr>
        <w:tabs>
          <w:tab w:val="num" w:pos="3992"/>
        </w:tabs>
        <w:ind w:left="3992" w:hanging="360"/>
      </w:pPr>
      <w:rPr>
        <w:rFonts w:ascii="Courier New" w:hAnsi="Courier New" w:cs="Courier New" w:hint="default"/>
      </w:rPr>
    </w:lvl>
    <w:lvl w:ilvl="2" w:tplc="040A0005" w:tentative="1">
      <w:start w:val="1"/>
      <w:numFmt w:val="bullet"/>
      <w:lvlText w:val=""/>
      <w:lvlJc w:val="left"/>
      <w:pPr>
        <w:tabs>
          <w:tab w:val="num" w:pos="4712"/>
        </w:tabs>
        <w:ind w:left="4712" w:hanging="360"/>
      </w:pPr>
      <w:rPr>
        <w:rFonts w:ascii="Wingdings" w:hAnsi="Wingdings" w:hint="default"/>
      </w:rPr>
    </w:lvl>
    <w:lvl w:ilvl="3" w:tplc="040A0001" w:tentative="1">
      <w:start w:val="1"/>
      <w:numFmt w:val="bullet"/>
      <w:lvlText w:val=""/>
      <w:lvlJc w:val="left"/>
      <w:pPr>
        <w:tabs>
          <w:tab w:val="num" w:pos="5432"/>
        </w:tabs>
        <w:ind w:left="5432" w:hanging="360"/>
      </w:pPr>
      <w:rPr>
        <w:rFonts w:ascii="Symbol" w:hAnsi="Symbol" w:hint="default"/>
      </w:rPr>
    </w:lvl>
    <w:lvl w:ilvl="4" w:tplc="040A0003" w:tentative="1">
      <w:start w:val="1"/>
      <w:numFmt w:val="bullet"/>
      <w:lvlText w:val="o"/>
      <w:lvlJc w:val="left"/>
      <w:pPr>
        <w:tabs>
          <w:tab w:val="num" w:pos="6152"/>
        </w:tabs>
        <w:ind w:left="6152" w:hanging="360"/>
      </w:pPr>
      <w:rPr>
        <w:rFonts w:ascii="Courier New" w:hAnsi="Courier New" w:cs="Courier New" w:hint="default"/>
      </w:rPr>
    </w:lvl>
    <w:lvl w:ilvl="5" w:tplc="040A0005" w:tentative="1">
      <w:start w:val="1"/>
      <w:numFmt w:val="bullet"/>
      <w:lvlText w:val=""/>
      <w:lvlJc w:val="left"/>
      <w:pPr>
        <w:tabs>
          <w:tab w:val="num" w:pos="6872"/>
        </w:tabs>
        <w:ind w:left="6872" w:hanging="360"/>
      </w:pPr>
      <w:rPr>
        <w:rFonts w:ascii="Wingdings" w:hAnsi="Wingdings" w:hint="default"/>
      </w:rPr>
    </w:lvl>
    <w:lvl w:ilvl="6" w:tplc="040A0001" w:tentative="1">
      <w:start w:val="1"/>
      <w:numFmt w:val="bullet"/>
      <w:lvlText w:val=""/>
      <w:lvlJc w:val="left"/>
      <w:pPr>
        <w:tabs>
          <w:tab w:val="num" w:pos="7592"/>
        </w:tabs>
        <w:ind w:left="7592" w:hanging="360"/>
      </w:pPr>
      <w:rPr>
        <w:rFonts w:ascii="Symbol" w:hAnsi="Symbol" w:hint="default"/>
      </w:rPr>
    </w:lvl>
    <w:lvl w:ilvl="7" w:tplc="040A0003" w:tentative="1">
      <w:start w:val="1"/>
      <w:numFmt w:val="bullet"/>
      <w:lvlText w:val="o"/>
      <w:lvlJc w:val="left"/>
      <w:pPr>
        <w:tabs>
          <w:tab w:val="num" w:pos="8312"/>
        </w:tabs>
        <w:ind w:left="8312" w:hanging="360"/>
      </w:pPr>
      <w:rPr>
        <w:rFonts w:ascii="Courier New" w:hAnsi="Courier New" w:cs="Courier New" w:hint="default"/>
      </w:rPr>
    </w:lvl>
    <w:lvl w:ilvl="8" w:tplc="040A0005" w:tentative="1">
      <w:start w:val="1"/>
      <w:numFmt w:val="bullet"/>
      <w:lvlText w:val=""/>
      <w:lvlJc w:val="left"/>
      <w:pPr>
        <w:tabs>
          <w:tab w:val="num" w:pos="9032"/>
        </w:tabs>
        <w:ind w:left="90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2049">
      <o:colormru v:ext="edit" colors="#00008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74"/>
    <w:rsid w:val="000C73D0"/>
    <w:rsid w:val="00165C15"/>
    <w:rsid w:val="001A1357"/>
    <w:rsid w:val="001B12FB"/>
    <w:rsid w:val="001B71C7"/>
    <w:rsid w:val="002361C6"/>
    <w:rsid w:val="00292A42"/>
    <w:rsid w:val="002C0775"/>
    <w:rsid w:val="002C5532"/>
    <w:rsid w:val="00361919"/>
    <w:rsid w:val="003F0FF3"/>
    <w:rsid w:val="004302E0"/>
    <w:rsid w:val="00436CD2"/>
    <w:rsid w:val="00465FE6"/>
    <w:rsid w:val="00484E71"/>
    <w:rsid w:val="004A5642"/>
    <w:rsid w:val="004A72D6"/>
    <w:rsid w:val="004C0C42"/>
    <w:rsid w:val="004D3300"/>
    <w:rsid w:val="004E20D0"/>
    <w:rsid w:val="00516A7C"/>
    <w:rsid w:val="005A454C"/>
    <w:rsid w:val="005C2171"/>
    <w:rsid w:val="005C6390"/>
    <w:rsid w:val="005F5093"/>
    <w:rsid w:val="006729A0"/>
    <w:rsid w:val="00673A96"/>
    <w:rsid w:val="006D6F96"/>
    <w:rsid w:val="0080037B"/>
    <w:rsid w:val="00847539"/>
    <w:rsid w:val="00863199"/>
    <w:rsid w:val="0087681F"/>
    <w:rsid w:val="008C2EAC"/>
    <w:rsid w:val="008C518A"/>
    <w:rsid w:val="008F664E"/>
    <w:rsid w:val="00901E26"/>
    <w:rsid w:val="00911F0E"/>
    <w:rsid w:val="00971D0B"/>
    <w:rsid w:val="009D4D6B"/>
    <w:rsid w:val="009D4FF0"/>
    <w:rsid w:val="00A02BDC"/>
    <w:rsid w:val="00A1752E"/>
    <w:rsid w:val="00A97F48"/>
    <w:rsid w:val="00B475F1"/>
    <w:rsid w:val="00B66E74"/>
    <w:rsid w:val="00BA46C1"/>
    <w:rsid w:val="00BD35D6"/>
    <w:rsid w:val="00C25CAF"/>
    <w:rsid w:val="00C443A2"/>
    <w:rsid w:val="00C84F93"/>
    <w:rsid w:val="00C9053E"/>
    <w:rsid w:val="00C9273D"/>
    <w:rsid w:val="00CA6BE1"/>
    <w:rsid w:val="00CB2B47"/>
    <w:rsid w:val="00CD4C71"/>
    <w:rsid w:val="00E367FF"/>
    <w:rsid w:val="00E56F93"/>
    <w:rsid w:val="00EE232D"/>
    <w:rsid w:val="00F97251"/>
    <w:rsid w:val="00FE7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49">
      <o:colormru v:ext="edit" colors="#00008e"/>
    </o:shapedefaults>
    <o:shapelayout v:ext="edit">
      <o:idmap v:ext="edit" data="1"/>
    </o:shapelayout>
  </w:shapeDefaults>
  <w:decimalSymbol w:val=","/>
  <w:listSeparator w:val=";"/>
  <w15:docId w15:val="{D51541A9-A0C6-4BEF-94D1-B056EBFC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Verdana" w:hAnsi="Verdana"/>
      <w:b/>
      <w:bCs/>
      <w:color w:val="00008E"/>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Textodeglobo">
    <w:name w:val="Balloon Text"/>
    <w:basedOn w:val="Normal"/>
    <w:semiHidden/>
    <w:rPr>
      <w:rFonts w:ascii="Tahoma" w:hAnsi="Tahoma" w:cs="News Gothic Std"/>
      <w:sz w:val="16"/>
      <w:szCs w:val="16"/>
    </w:rPr>
  </w:style>
  <w:style w:type="character" w:styleId="Nmerodepgina">
    <w:name w:val="page number"/>
    <w:basedOn w:val="Fuentedeprrafopredeter"/>
  </w:style>
  <w:style w:type="paragraph" w:styleId="Textoindependiente">
    <w:name w:val="Body Text"/>
    <w:basedOn w:val="Normal"/>
    <w:pPr>
      <w:spacing w:line="270" w:lineRule="atLeast"/>
      <w:jc w:val="both"/>
    </w:pPr>
    <w:rPr>
      <w:rFonts w:ascii="TradeGothic Light" w:hAnsi="TradeGothic Light"/>
      <w:sz w:val="20"/>
      <w:lang w:val="es-ES_tradnl"/>
    </w:rPr>
  </w:style>
  <w:style w:type="paragraph" w:styleId="Textodebloque">
    <w:name w:val="Block Text"/>
    <w:basedOn w:val="Normal"/>
    <w:pPr>
      <w:spacing w:line="270" w:lineRule="atLeast"/>
      <w:ind w:left="567" w:right="567"/>
      <w:jc w:val="both"/>
    </w:pPr>
    <w:rPr>
      <w:rFonts w:ascii="Frutiger 45 Light" w:hAnsi="Frutiger 45 Light"/>
      <w:sz w:val="20"/>
    </w:rPr>
  </w:style>
  <w:style w:type="character" w:styleId="Hipervnculovisitado">
    <w:name w:val="FollowedHyperlink"/>
    <w:rPr>
      <w:color w:val="800080"/>
      <w:u w:val="single"/>
    </w:rPr>
  </w:style>
  <w:style w:type="paragraph" w:styleId="Textoindependiente2">
    <w:name w:val="Body Text 2"/>
    <w:basedOn w:val="Normal"/>
    <w:pPr>
      <w:ind w:right="567"/>
      <w:jc w:val="both"/>
    </w:pPr>
    <w:rPr>
      <w:rFonts w:ascii="Times" w:hAnsi="Times"/>
      <w:lang w:val="es-ES_tradnl"/>
    </w:rPr>
  </w:style>
  <w:style w:type="table" w:styleId="Tablaconcuadrcula">
    <w:name w:val="Table Grid"/>
    <w:basedOn w:val="Tablanormal"/>
    <w:uiPriority w:val="59"/>
    <w:rsid w:val="0090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C5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7175">
      <w:bodyDiv w:val="1"/>
      <w:marLeft w:val="0"/>
      <w:marRight w:val="0"/>
      <w:marTop w:val="0"/>
      <w:marBottom w:val="0"/>
      <w:divBdr>
        <w:top w:val="none" w:sz="0" w:space="0" w:color="auto"/>
        <w:left w:val="none" w:sz="0" w:space="0" w:color="auto"/>
        <w:bottom w:val="none" w:sz="0" w:space="0" w:color="auto"/>
        <w:right w:val="none" w:sz="0" w:space="0" w:color="auto"/>
      </w:divBdr>
    </w:div>
    <w:div w:id="16801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es\Documents\Plantillas%20personalizadas%20de%20Office\Plantilla%20convocato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convocatoria</Template>
  <TotalTime>47</TotalTime>
  <Pages>2</Pages>
  <Words>339</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Excmo</vt:lpstr>
    </vt:vector>
  </TitlesOfParts>
  <Company>LOZANO'S HOUSE</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Angeles Junquera García</dc:creator>
  <cp:lastModifiedBy>Angeles Junquera García</cp:lastModifiedBy>
  <cp:revision>2</cp:revision>
  <cp:lastPrinted>2018-02-26T20:07:00Z</cp:lastPrinted>
  <dcterms:created xsi:type="dcterms:W3CDTF">2018-02-26T19:19:00Z</dcterms:created>
  <dcterms:modified xsi:type="dcterms:W3CDTF">2018-02-26T20:14:00Z</dcterms:modified>
</cp:coreProperties>
</file>