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28D2C" w14:textId="77777777" w:rsidR="002915F9" w:rsidRDefault="002915F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285914EC" wp14:editId="7C846FE2">
            <wp:simplePos x="0" y="0"/>
            <wp:positionH relativeFrom="margin">
              <wp:posOffset>-879691</wp:posOffset>
            </wp:positionH>
            <wp:positionV relativeFrom="paragraph">
              <wp:posOffset>-708888</wp:posOffset>
            </wp:positionV>
            <wp:extent cx="957532" cy="1212066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-fvmp-724x1024-Vertical-237x3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1212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EB4A3" w14:textId="77777777" w:rsidR="002915F9" w:rsidRDefault="002915F9">
      <w:pPr>
        <w:rPr>
          <w:rFonts w:asciiTheme="majorHAnsi" w:hAnsiTheme="majorHAnsi" w:cstheme="majorHAnsi"/>
          <w:sz w:val="24"/>
          <w:szCs w:val="24"/>
        </w:rPr>
      </w:pPr>
    </w:p>
    <w:p w14:paraId="2E20838D" w14:textId="77777777" w:rsidR="007175D2" w:rsidRPr="002915F9" w:rsidRDefault="007175D2" w:rsidP="007175D2">
      <w:pPr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r w:rsidRPr="002915F9">
        <w:rPr>
          <w:rFonts w:asciiTheme="majorHAnsi" w:hAnsiTheme="majorHAnsi" w:cstheme="majorHAnsi"/>
          <w:b/>
          <w:sz w:val="28"/>
          <w:szCs w:val="24"/>
        </w:rPr>
        <w:t xml:space="preserve">NUEVOS ACUERDOS EN LAS MESAS DE TRABAJO </w:t>
      </w:r>
      <w:r>
        <w:rPr>
          <w:rFonts w:asciiTheme="majorHAnsi" w:hAnsiTheme="majorHAnsi" w:cstheme="majorHAnsi"/>
          <w:b/>
          <w:sz w:val="28"/>
          <w:szCs w:val="24"/>
        </w:rPr>
        <w:t>PARA</w:t>
      </w:r>
      <w:r w:rsidRPr="002915F9">
        <w:rPr>
          <w:rFonts w:asciiTheme="majorHAnsi" w:hAnsiTheme="majorHAnsi" w:cstheme="majorHAnsi"/>
          <w:b/>
          <w:sz w:val="28"/>
          <w:szCs w:val="24"/>
        </w:rPr>
        <w:t xml:space="preserve"> LA </w:t>
      </w:r>
      <w:r>
        <w:rPr>
          <w:rFonts w:asciiTheme="majorHAnsi" w:hAnsiTheme="majorHAnsi" w:cstheme="majorHAnsi"/>
          <w:b/>
          <w:sz w:val="28"/>
          <w:szCs w:val="24"/>
        </w:rPr>
        <w:t>RECUPERACIÓN</w:t>
      </w:r>
      <w:r w:rsidRPr="002915F9">
        <w:rPr>
          <w:rFonts w:asciiTheme="majorHAnsi" w:hAnsiTheme="majorHAnsi" w:cstheme="majorHAnsi"/>
          <w:b/>
          <w:sz w:val="28"/>
          <w:szCs w:val="24"/>
        </w:rPr>
        <w:t xml:space="preserve"> DE LA COMUNIDAD VALENCIANA TRAS LA COVID-19</w:t>
      </w:r>
    </w:p>
    <w:p w14:paraId="30638CBE" w14:textId="77777777" w:rsidR="007175D2" w:rsidRPr="005A71BF" w:rsidRDefault="007175D2" w:rsidP="007175D2">
      <w:pPr>
        <w:rPr>
          <w:rFonts w:asciiTheme="majorHAnsi" w:hAnsiTheme="majorHAnsi" w:cstheme="majorHAnsi"/>
          <w:sz w:val="24"/>
          <w:szCs w:val="24"/>
        </w:rPr>
      </w:pPr>
    </w:p>
    <w:p w14:paraId="761B2AAA" w14:textId="77777777" w:rsidR="007175D2" w:rsidRDefault="007175D2" w:rsidP="007175D2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>La Federación Valenciana de Municipios y Provincias</w:t>
      </w:r>
      <w:r>
        <w:rPr>
          <w:rFonts w:asciiTheme="majorHAnsi" w:hAnsiTheme="majorHAnsi" w:cstheme="majorHAnsi"/>
          <w:sz w:val="24"/>
          <w:szCs w:val="24"/>
        </w:rPr>
        <w:t xml:space="preserve"> (FVMP)</w:t>
      </w:r>
      <w:r w:rsidRPr="005A71BF">
        <w:rPr>
          <w:rFonts w:asciiTheme="majorHAnsi" w:hAnsiTheme="majorHAnsi" w:cstheme="majorHAnsi"/>
          <w:sz w:val="24"/>
          <w:szCs w:val="24"/>
        </w:rPr>
        <w:t xml:space="preserve"> continúa coordinando las reuniones de las mesas de trabajo para alcanzar </w:t>
      </w:r>
      <w:r>
        <w:rPr>
          <w:rFonts w:asciiTheme="majorHAnsi" w:hAnsiTheme="majorHAnsi" w:cstheme="majorHAnsi"/>
          <w:sz w:val="24"/>
          <w:szCs w:val="24"/>
        </w:rPr>
        <w:t>el</w:t>
      </w:r>
      <w:r w:rsidRPr="005A71BF">
        <w:rPr>
          <w:rFonts w:asciiTheme="majorHAnsi" w:hAnsiTheme="majorHAnsi" w:cstheme="majorHAnsi"/>
          <w:sz w:val="24"/>
          <w:szCs w:val="24"/>
        </w:rPr>
        <w:t xml:space="preserve"> pacto institucional</w:t>
      </w:r>
      <w:r>
        <w:rPr>
          <w:rFonts w:asciiTheme="majorHAnsi" w:hAnsiTheme="majorHAnsi" w:cstheme="majorHAnsi"/>
          <w:sz w:val="24"/>
          <w:szCs w:val="24"/>
        </w:rPr>
        <w:t xml:space="preserve"> ‘</w:t>
      </w:r>
      <w:proofErr w:type="spellStart"/>
      <w:r>
        <w:rPr>
          <w:rFonts w:asciiTheme="majorHAnsi" w:hAnsiTheme="majorHAnsi" w:cstheme="majorHAnsi"/>
          <w:sz w:val="24"/>
          <w:szCs w:val="24"/>
        </w:rPr>
        <w:t>Alcem</w:t>
      </w:r>
      <w:proofErr w:type="spellEnd"/>
      <w:r>
        <w:rPr>
          <w:rFonts w:asciiTheme="majorHAnsi" w:hAnsiTheme="majorHAnsi" w:cstheme="majorHAnsi"/>
          <w:sz w:val="24"/>
          <w:szCs w:val="24"/>
        </w:rPr>
        <w:t>-nos’</w:t>
      </w:r>
      <w:r w:rsidRPr="005A71BF">
        <w:rPr>
          <w:rFonts w:asciiTheme="majorHAnsi" w:hAnsiTheme="majorHAnsi" w:cstheme="majorHAnsi"/>
          <w:sz w:val="24"/>
          <w:szCs w:val="24"/>
        </w:rPr>
        <w:t xml:space="preserve"> para la recuperación de la Comunidad Valenciana tras la crisis sanitaria sufrida por la COVID-19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B40AD34" w14:textId="77777777" w:rsidR="007175D2" w:rsidRDefault="007175D2" w:rsidP="007175D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Debido a la necesidad de llegar a acuerdos de consenso entre todos los representantes del municipalismo valenciano para dar respuestas efectivas a las demandas actuales de la sociedad, los grupos de trabajo se han confeccionado con agentes de la Generalitat Valenciana, las tres diputaciones provinciales, representantes municipales de la Comunidad Valenciana y la FVMP. De esta forma, en cada área ha participado el </w:t>
      </w:r>
      <w:proofErr w:type="spellStart"/>
      <w:r>
        <w:rPr>
          <w:rFonts w:asciiTheme="majorHAnsi" w:hAnsiTheme="majorHAnsi" w:cstheme="majorHAnsi"/>
          <w:sz w:val="24"/>
          <w:szCs w:val="24"/>
        </w:rPr>
        <w:t>conseller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 la </w:t>
      </w:r>
      <w:proofErr w:type="spellStart"/>
      <w:r>
        <w:rPr>
          <w:rFonts w:asciiTheme="majorHAnsi" w:hAnsiTheme="majorHAnsi" w:cstheme="majorHAnsi"/>
          <w:sz w:val="24"/>
          <w:szCs w:val="24"/>
        </w:rPr>
        <w:t>consellera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competente, así como diferentes secretarios autonómicos y directores generales de la Generalitat Valenciana. </w:t>
      </w:r>
    </w:p>
    <w:bookmarkEnd w:id="0"/>
    <w:p w14:paraId="0A542AF6" w14:textId="4FAAB5EC" w:rsidR="00BF38A7" w:rsidRPr="005A71BF" w:rsidRDefault="00BF38A7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 xml:space="preserve">En </w:t>
      </w:r>
      <w:r w:rsidR="00F03FE7">
        <w:rPr>
          <w:rFonts w:asciiTheme="majorHAnsi" w:hAnsiTheme="majorHAnsi" w:cstheme="majorHAnsi"/>
          <w:sz w:val="24"/>
          <w:szCs w:val="24"/>
        </w:rPr>
        <w:t xml:space="preserve">cuanto a los acuerdos, </w:t>
      </w:r>
      <w:r w:rsidRPr="005A71BF">
        <w:rPr>
          <w:rFonts w:asciiTheme="majorHAnsi" w:hAnsiTheme="majorHAnsi" w:cstheme="majorHAnsi"/>
          <w:sz w:val="24"/>
          <w:szCs w:val="24"/>
        </w:rPr>
        <w:t xml:space="preserve">la mesa de </w:t>
      </w:r>
      <w:r w:rsidRPr="005A71BF">
        <w:rPr>
          <w:rFonts w:asciiTheme="majorHAnsi" w:hAnsiTheme="majorHAnsi" w:cstheme="majorHAnsi"/>
          <w:b/>
          <w:sz w:val="24"/>
          <w:szCs w:val="24"/>
        </w:rPr>
        <w:t>vivienda</w:t>
      </w:r>
      <w:r w:rsidR="00F03FE7">
        <w:rPr>
          <w:rFonts w:asciiTheme="majorHAnsi" w:hAnsiTheme="majorHAnsi" w:cstheme="majorHAnsi"/>
          <w:sz w:val="24"/>
          <w:szCs w:val="24"/>
        </w:rPr>
        <w:t xml:space="preserve"> ha establecido</w:t>
      </w:r>
      <w:r w:rsidRPr="005A71BF">
        <w:rPr>
          <w:rFonts w:asciiTheme="majorHAnsi" w:hAnsiTheme="majorHAnsi" w:cstheme="majorHAnsi"/>
          <w:sz w:val="24"/>
          <w:szCs w:val="24"/>
        </w:rPr>
        <w:t xml:space="preserve"> la adopción de diversas medidas fiscales con el objetivo de reactivar cascos antiguos y zonas despobladas o la priorización de las energías renovables frente a la utilización de fuentes de energía fósil para fomentar el ahorro energético y el uso eficiente de los recursos y de la energía, preferentemente de generación propia.</w:t>
      </w:r>
    </w:p>
    <w:p w14:paraId="5A00E4F9" w14:textId="77777777" w:rsidR="00B2206A" w:rsidRPr="005A71BF" w:rsidRDefault="00BF38A7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 xml:space="preserve">El grupo de trabajo de </w:t>
      </w:r>
      <w:r w:rsidRPr="005A71BF">
        <w:rPr>
          <w:rFonts w:asciiTheme="majorHAnsi" w:hAnsiTheme="majorHAnsi" w:cstheme="majorHAnsi"/>
          <w:b/>
          <w:sz w:val="24"/>
          <w:szCs w:val="24"/>
        </w:rPr>
        <w:t>despoblación</w:t>
      </w:r>
      <w:r w:rsidRPr="005A71BF">
        <w:rPr>
          <w:rFonts w:asciiTheme="majorHAnsi" w:hAnsiTheme="majorHAnsi" w:cstheme="majorHAnsi"/>
          <w:sz w:val="24"/>
          <w:szCs w:val="24"/>
        </w:rPr>
        <w:t xml:space="preserve"> </w:t>
      </w:r>
      <w:r w:rsidR="005A71BF" w:rsidRPr="005A71BF">
        <w:rPr>
          <w:rFonts w:asciiTheme="majorHAnsi" w:hAnsiTheme="majorHAnsi" w:cstheme="majorHAnsi"/>
          <w:sz w:val="24"/>
          <w:szCs w:val="24"/>
        </w:rPr>
        <w:t>ha convenido</w:t>
      </w:r>
      <w:r w:rsidRPr="005A71BF">
        <w:rPr>
          <w:rFonts w:asciiTheme="majorHAnsi" w:hAnsiTheme="majorHAnsi" w:cstheme="majorHAnsi"/>
          <w:sz w:val="24"/>
          <w:szCs w:val="24"/>
        </w:rPr>
        <w:t xml:space="preserve"> la puesta en marcha de ayudas a empresas afincadas en territorios con riesgo de despoblación, planes de empleo </w:t>
      </w:r>
      <w:r w:rsidR="00B2206A" w:rsidRPr="005A71BF">
        <w:rPr>
          <w:rFonts w:asciiTheme="majorHAnsi" w:hAnsiTheme="majorHAnsi" w:cstheme="majorHAnsi"/>
          <w:sz w:val="24"/>
          <w:szCs w:val="24"/>
        </w:rPr>
        <w:t xml:space="preserve">municipales relacionados con los recursos medioambientales, rehabilitación de las viviendas vacías o el refuerzo de los Centros de Salud comarcales. </w:t>
      </w:r>
    </w:p>
    <w:p w14:paraId="6F5D1AD7" w14:textId="77777777" w:rsidR="00BF38A7" w:rsidRPr="005A71BF" w:rsidRDefault="00476167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>Por su parte</w:t>
      </w:r>
      <w:r w:rsidR="002A6E7E">
        <w:rPr>
          <w:rFonts w:asciiTheme="majorHAnsi" w:hAnsiTheme="majorHAnsi" w:cstheme="majorHAnsi"/>
          <w:sz w:val="24"/>
          <w:szCs w:val="24"/>
        </w:rPr>
        <w:t>, en materia</w:t>
      </w:r>
      <w:r w:rsidR="00B2206A" w:rsidRPr="005A71BF">
        <w:rPr>
          <w:rFonts w:asciiTheme="majorHAnsi" w:hAnsiTheme="majorHAnsi" w:cstheme="majorHAnsi"/>
          <w:sz w:val="24"/>
          <w:szCs w:val="24"/>
        </w:rPr>
        <w:t xml:space="preserve"> de </w:t>
      </w:r>
      <w:r w:rsidR="00B2206A" w:rsidRPr="005A71BF">
        <w:rPr>
          <w:rFonts w:asciiTheme="majorHAnsi" w:hAnsiTheme="majorHAnsi" w:cstheme="majorHAnsi"/>
          <w:b/>
          <w:sz w:val="24"/>
          <w:szCs w:val="24"/>
        </w:rPr>
        <w:t>movilidad y territorio</w:t>
      </w:r>
      <w:r w:rsidR="005A71BF">
        <w:rPr>
          <w:rFonts w:asciiTheme="majorHAnsi" w:hAnsiTheme="majorHAnsi" w:cstheme="majorHAnsi"/>
          <w:sz w:val="24"/>
          <w:szCs w:val="24"/>
        </w:rPr>
        <w:t xml:space="preserve"> </w:t>
      </w:r>
      <w:r w:rsidR="002A6E7E">
        <w:rPr>
          <w:rFonts w:asciiTheme="majorHAnsi" w:hAnsiTheme="majorHAnsi" w:cstheme="majorHAnsi"/>
          <w:sz w:val="24"/>
          <w:szCs w:val="24"/>
        </w:rPr>
        <w:t xml:space="preserve">se </w:t>
      </w:r>
      <w:r w:rsidR="00B2206A" w:rsidRPr="005A71BF">
        <w:rPr>
          <w:rFonts w:asciiTheme="majorHAnsi" w:hAnsiTheme="majorHAnsi" w:cstheme="majorHAnsi"/>
          <w:sz w:val="24"/>
          <w:szCs w:val="24"/>
        </w:rPr>
        <w:t xml:space="preserve">ha aprobado desarrollar un informe sobre el impacto en movilidad de la actividad en el ámbito local, incentivar una alianza público-privada que impulse el vehículo eléctrico y la infraestructura de recarga o </w:t>
      </w:r>
      <w:r w:rsidR="003A76F9">
        <w:rPr>
          <w:rFonts w:asciiTheme="majorHAnsi" w:hAnsiTheme="majorHAnsi" w:cstheme="majorHAnsi"/>
          <w:sz w:val="24"/>
          <w:szCs w:val="24"/>
        </w:rPr>
        <w:t>la celebración de</w:t>
      </w:r>
      <w:r w:rsidR="00B2206A" w:rsidRPr="005A71BF">
        <w:rPr>
          <w:rFonts w:asciiTheme="majorHAnsi" w:hAnsiTheme="majorHAnsi" w:cstheme="majorHAnsi"/>
          <w:sz w:val="24"/>
          <w:szCs w:val="24"/>
        </w:rPr>
        <w:t xml:space="preserve"> una cumbre de federaciones de municipios</w:t>
      </w:r>
      <w:r w:rsidR="005E0C87" w:rsidRPr="005A71BF">
        <w:rPr>
          <w:rFonts w:asciiTheme="majorHAnsi" w:hAnsiTheme="majorHAnsi" w:cstheme="majorHAnsi"/>
          <w:sz w:val="24"/>
          <w:szCs w:val="24"/>
        </w:rPr>
        <w:t xml:space="preserve"> </w:t>
      </w:r>
      <w:r w:rsidR="005E0C87" w:rsidRPr="003A76F9">
        <w:rPr>
          <w:rFonts w:asciiTheme="majorHAnsi" w:hAnsiTheme="majorHAnsi" w:cstheme="majorHAnsi"/>
          <w:sz w:val="24"/>
          <w:szCs w:val="24"/>
        </w:rPr>
        <w:t>que verse sobre la movilidad.</w:t>
      </w:r>
      <w:r w:rsidR="005E0C87" w:rsidRPr="005A71B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1DBAA02" w14:textId="77777777" w:rsidR="00A66D51" w:rsidRPr="005A71BF" w:rsidRDefault="00A66D51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 xml:space="preserve">En el terreno de la </w:t>
      </w:r>
      <w:r w:rsidRPr="005A71BF">
        <w:rPr>
          <w:rFonts w:asciiTheme="majorHAnsi" w:hAnsiTheme="majorHAnsi" w:cstheme="majorHAnsi"/>
          <w:b/>
          <w:sz w:val="24"/>
          <w:szCs w:val="24"/>
        </w:rPr>
        <w:t>agricultura</w:t>
      </w:r>
      <w:r w:rsidRPr="005A71BF">
        <w:rPr>
          <w:rFonts w:asciiTheme="majorHAnsi" w:hAnsiTheme="majorHAnsi" w:cstheme="majorHAnsi"/>
          <w:sz w:val="24"/>
          <w:szCs w:val="24"/>
        </w:rPr>
        <w:t xml:space="preserve"> y el </w:t>
      </w:r>
      <w:r w:rsidRPr="005A71BF">
        <w:rPr>
          <w:rFonts w:asciiTheme="majorHAnsi" w:hAnsiTheme="majorHAnsi" w:cstheme="majorHAnsi"/>
          <w:b/>
          <w:sz w:val="24"/>
          <w:szCs w:val="24"/>
        </w:rPr>
        <w:t>medio ambiente</w:t>
      </w:r>
      <w:r w:rsidRPr="005A71BF">
        <w:rPr>
          <w:rFonts w:asciiTheme="majorHAnsi" w:hAnsiTheme="majorHAnsi" w:cstheme="majorHAnsi"/>
          <w:sz w:val="24"/>
          <w:szCs w:val="24"/>
        </w:rPr>
        <w:t xml:space="preserve">, se ha apostado por iniciar un programa de formación de agentes dinamizadores en el medio rural, aplicar el IBI máximo a aquellos terrenos no productivos, dotar de mayor presupuesto a las partidas municipales del sector agropecuario o agilizar los permisos para controlar superpoblaciones de fauna salvaje. </w:t>
      </w:r>
    </w:p>
    <w:p w14:paraId="4315EAF7" w14:textId="416673B6" w:rsidR="00A66D51" w:rsidRDefault="00A66D51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 xml:space="preserve">En lo que respecta a la </w:t>
      </w:r>
      <w:r w:rsidRPr="005A71BF">
        <w:rPr>
          <w:rFonts w:asciiTheme="majorHAnsi" w:hAnsiTheme="majorHAnsi" w:cstheme="majorHAnsi"/>
          <w:b/>
          <w:sz w:val="24"/>
          <w:szCs w:val="24"/>
        </w:rPr>
        <w:t>promoción económica</w:t>
      </w:r>
      <w:r w:rsidRPr="005A71BF">
        <w:rPr>
          <w:rFonts w:asciiTheme="majorHAnsi" w:hAnsiTheme="majorHAnsi" w:cstheme="majorHAnsi"/>
          <w:sz w:val="24"/>
          <w:szCs w:val="24"/>
        </w:rPr>
        <w:t xml:space="preserve">, </w:t>
      </w:r>
      <w:r w:rsidR="003A76F9">
        <w:rPr>
          <w:rFonts w:asciiTheme="majorHAnsi" w:hAnsiTheme="majorHAnsi" w:cstheme="majorHAnsi"/>
          <w:sz w:val="24"/>
          <w:szCs w:val="24"/>
        </w:rPr>
        <w:t>el grupo de trabajo ha</w:t>
      </w:r>
      <w:r w:rsidRPr="005A71BF">
        <w:rPr>
          <w:rFonts w:asciiTheme="majorHAnsi" w:hAnsiTheme="majorHAnsi" w:cstheme="majorHAnsi"/>
          <w:sz w:val="24"/>
          <w:szCs w:val="24"/>
        </w:rPr>
        <w:t xml:space="preserve"> concretado asignar mayores competencias a las entidades locales, establecer un nuevo modelo económico local sostenible centrado en los ODS, potenciar áreas empresariales</w:t>
      </w:r>
      <w:r w:rsidR="00476167" w:rsidRPr="005A71BF">
        <w:rPr>
          <w:rFonts w:asciiTheme="majorHAnsi" w:hAnsiTheme="majorHAnsi" w:cstheme="majorHAnsi"/>
          <w:sz w:val="24"/>
          <w:szCs w:val="24"/>
        </w:rPr>
        <w:t xml:space="preserve"> de </w:t>
      </w:r>
      <w:r w:rsidR="00476167" w:rsidRPr="005A71BF">
        <w:rPr>
          <w:rFonts w:asciiTheme="majorHAnsi" w:hAnsiTheme="majorHAnsi" w:cstheme="majorHAnsi"/>
          <w:sz w:val="24"/>
          <w:szCs w:val="24"/>
        </w:rPr>
        <w:lastRenderedPageBreak/>
        <w:t>calidad</w:t>
      </w:r>
      <w:r w:rsidRPr="005A71BF">
        <w:rPr>
          <w:rFonts w:asciiTheme="majorHAnsi" w:hAnsiTheme="majorHAnsi" w:cstheme="majorHAnsi"/>
          <w:sz w:val="24"/>
          <w:szCs w:val="24"/>
        </w:rPr>
        <w:t xml:space="preserve"> que faciliten </w:t>
      </w:r>
      <w:r w:rsidR="00476167" w:rsidRPr="005A71BF">
        <w:rPr>
          <w:rFonts w:asciiTheme="majorHAnsi" w:hAnsiTheme="majorHAnsi" w:cstheme="majorHAnsi"/>
          <w:sz w:val="24"/>
          <w:szCs w:val="24"/>
        </w:rPr>
        <w:t xml:space="preserve">la menor dependencia de la industria extranjera o la colaboración transversal entre administraciones para los Planes de empleo. </w:t>
      </w:r>
    </w:p>
    <w:p w14:paraId="446AA314" w14:textId="583697B2" w:rsidR="00C30C3E" w:rsidRPr="005A71BF" w:rsidRDefault="00476167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 xml:space="preserve">Finalmente, </w:t>
      </w:r>
      <w:r w:rsidR="005A71BF">
        <w:rPr>
          <w:rFonts w:asciiTheme="majorHAnsi" w:hAnsiTheme="majorHAnsi" w:cstheme="majorHAnsi"/>
          <w:sz w:val="24"/>
          <w:szCs w:val="24"/>
        </w:rPr>
        <w:t>la mesa</w:t>
      </w:r>
      <w:r w:rsidRPr="005A71BF">
        <w:rPr>
          <w:rFonts w:asciiTheme="majorHAnsi" w:hAnsiTheme="majorHAnsi" w:cstheme="majorHAnsi"/>
          <w:sz w:val="24"/>
          <w:szCs w:val="24"/>
        </w:rPr>
        <w:t xml:space="preserve"> de trabajo de </w:t>
      </w:r>
      <w:r w:rsidRPr="005A71BF">
        <w:rPr>
          <w:rFonts w:asciiTheme="majorHAnsi" w:hAnsiTheme="majorHAnsi" w:cstheme="majorHAnsi"/>
          <w:b/>
          <w:sz w:val="24"/>
          <w:szCs w:val="24"/>
        </w:rPr>
        <w:t>financiación y fondos europeos</w:t>
      </w:r>
      <w:r w:rsidRPr="005A71BF">
        <w:rPr>
          <w:rFonts w:asciiTheme="majorHAnsi" w:hAnsiTheme="majorHAnsi" w:cstheme="majorHAnsi"/>
          <w:sz w:val="24"/>
          <w:szCs w:val="24"/>
        </w:rPr>
        <w:t xml:space="preserve"> ha </w:t>
      </w:r>
      <w:r w:rsidR="008C5444">
        <w:rPr>
          <w:rFonts w:asciiTheme="majorHAnsi" w:hAnsiTheme="majorHAnsi" w:cstheme="majorHAnsi"/>
          <w:sz w:val="24"/>
          <w:szCs w:val="24"/>
        </w:rPr>
        <w:t>manifestado</w:t>
      </w:r>
      <w:r w:rsidRPr="005A71BF">
        <w:rPr>
          <w:rFonts w:asciiTheme="majorHAnsi" w:hAnsiTheme="majorHAnsi" w:cstheme="majorHAnsi"/>
          <w:sz w:val="24"/>
          <w:szCs w:val="24"/>
        </w:rPr>
        <w:t xml:space="preserve"> </w:t>
      </w:r>
      <w:r w:rsidR="008C5444">
        <w:rPr>
          <w:rFonts w:asciiTheme="majorHAnsi" w:hAnsiTheme="majorHAnsi" w:cstheme="majorHAnsi"/>
          <w:sz w:val="24"/>
          <w:szCs w:val="24"/>
        </w:rPr>
        <w:t>l</w:t>
      </w:r>
      <w:r w:rsidRPr="005A71BF">
        <w:rPr>
          <w:rFonts w:asciiTheme="majorHAnsi" w:hAnsiTheme="majorHAnsi" w:cstheme="majorHAnsi"/>
          <w:sz w:val="24"/>
          <w:szCs w:val="24"/>
        </w:rPr>
        <w:t xml:space="preserve">a disposición de las entidades locales </w:t>
      </w:r>
      <w:r w:rsidR="008C5444">
        <w:rPr>
          <w:rFonts w:asciiTheme="majorHAnsi" w:hAnsiTheme="majorHAnsi" w:cstheme="majorHAnsi"/>
          <w:sz w:val="24"/>
          <w:szCs w:val="24"/>
        </w:rPr>
        <w:t xml:space="preserve">para que </w:t>
      </w:r>
      <w:r w:rsidRPr="005A71BF">
        <w:rPr>
          <w:rFonts w:asciiTheme="majorHAnsi" w:hAnsiTheme="majorHAnsi" w:cstheme="majorHAnsi"/>
          <w:sz w:val="24"/>
          <w:szCs w:val="24"/>
        </w:rPr>
        <w:t xml:space="preserve">el remanente y superávit de 2019 </w:t>
      </w:r>
      <w:r w:rsidR="008C5444">
        <w:rPr>
          <w:rFonts w:asciiTheme="majorHAnsi" w:hAnsiTheme="majorHAnsi" w:cstheme="majorHAnsi"/>
          <w:sz w:val="24"/>
          <w:szCs w:val="24"/>
        </w:rPr>
        <w:t>implemente</w:t>
      </w:r>
      <w:r w:rsidRPr="005A71BF">
        <w:rPr>
          <w:rFonts w:asciiTheme="majorHAnsi" w:hAnsiTheme="majorHAnsi" w:cstheme="majorHAnsi"/>
          <w:sz w:val="24"/>
          <w:szCs w:val="24"/>
        </w:rPr>
        <w:t xml:space="preserve"> los costes derivados de la recuperación económica como consecuencia de la Covid-19. Además, la voluntad es que se incremente el Fondo de Cooperación Municipal a las entidades locales menores, prorrogar el bono social a colectivos de alto riesgo y establecer bonificaciones en los impuestos municipales. </w:t>
      </w:r>
    </w:p>
    <w:p w14:paraId="50B77039" w14:textId="77777777" w:rsidR="00BF38A7" w:rsidRPr="005A71BF" w:rsidRDefault="00476167">
      <w:pPr>
        <w:rPr>
          <w:rFonts w:asciiTheme="majorHAnsi" w:hAnsiTheme="majorHAnsi" w:cstheme="majorHAnsi"/>
          <w:sz w:val="24"/>
          <w:szCs w:val="24"/>
        </w:rPr>
      </w:pPr>
      <w:r w:rsidRPr="005A71BF">
        <w:rPr>
          <w:rFonts w:asciiTheme="majorHAnsi" w:hAnsiTheme="majorHAnsi" w:cstheme="majorHAnsi"/>
          <w:sz w:val="24"/>
          <w:szCs w:val="24"/>
        </w:rPr>
        <w:t>El próximo lunes 13 de julio finalizar</w:t>
      </w:r>
      <w:r w:rsidR="005A71BF">
        <w:rPr>
          <w:rFonts w:asciiTheme="majorHAnsi" w:hAnsiTheme="majorHAnsi" w:cstheme="majorHAnsi"/>
          <w:sz w:val="24"/>
          <w:szCs w:val="24"/>
        </w:rPr>
        <w:t xml:space="preserve">á la segunda ronda de los grupos </w:t>
      </w:r>
      <w:r w:rsidRPr="005A71BF">
        <w:rPr>
          <w:rFonts w:asciiTheme="majorHAnsi" w:hAnsiTheme="majorHAnsi" w:cstheme="majorHAnsi"/>
          <w:sz w:val="24"/>
          <w:szCs w:val="24"/>
        </w:rPr>
        <w:t>de trabajo que se ini</w:t>
      </w:r>
      <w:r w:rsidR="005A71BF">
        <w:rPr>
          <w:rFonts w:asciiTheme="majorHAnsi" w:hAnsiTheme="majorHAnsi" w:cstheme="majorHAnsi"/>
          <w:sz w:val="24"/>
          <w:szCs w:val="24"/>
        </w:rPr>
        <w:t>ciaron</w:t>
      </w:r>
      <w:r w:rsidR="005A71BF" w:rsidRPr="005A71BF">
        <w:rPr>
          <w:rFonts w:asciiTheme="majorHAnsi" w:hAnsiTheme="majorHAnsi" w:cstheme="majorHAnsi"/>
          <w:sz w:val="24"/>
          <w:szCs w:val="24"/>
        </w:rPr>
        <w:t xml:space="preserve"> el pasado 1 de julio con la colaboración de las diferentes administraciones. </w:t>
      </w:r>
      <w:r w:rsidR="005A71BF">
        <w:rPr>
          <w:rFonts w:asciiTheme="majorHAnsi" w:hAnsiTheme="majorHAnsi" w:cstheme="majorHAnsi"/>
          <w:sz w:val="24"/>
          <w:szCs w:val="24"/>
        </w:rPr>
        <w:t xml:space="preserve">El próximo paso será exponer los acuerdos, a los que se ha llegado por consenso, en la última mesa de trabajo institucional que tendrá lugar a finales del mes de julio. </w:t>
      </w:r>
    </w:p>
    <w:sectPr w:rsidR="00BF38A7" w:rsidRPr="005A7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2E33" w16cex:dateUtc="2020-07-08T09:36:00Z"/>
  <w16cex:commentExtensible w16cex:durableId="22B02F4D" w16cex:dateUtc="2020-07-08T09:41:00Z"/>
  <w16cex:commentExtensible w16cex:durableId="22B02F9B" w16cex:dateUtc="2020-07-08T09:42:00Z"/>
  <w16cex:commentExtensible w16cex:durableId="22B02FAC" w16cex:dateUtc="2020-07-08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515BAD" w16cid:durableId="22B02E33"/>
  <w16cid:commentId w16cid:paraId="5045EE2B" w16cid:durableId="22B02F4D"/>
  <w16cid:commentId w16cid:paraId="64B92D70" w16cid:durableId="22B02F9B"/>
  <w16cid:commentId w16cid:paraId="4E5212D2" w16cid:durableId="22B02F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A7"/>
    <w:rsid w:val="000B0097"/>
    <w:rsid w:val="002915F9"/>
    <w:rsid w:val="002A6E7E"/>
    <w:rsid w:val="003A76F9"/>
    <w:rsid w:val="00476167"/>
    <w:rsid w:val="005A71BF"/>
    <w:rsid w:val="005E0C87"/>
    <w:rsid w:val="007002F6"/>
    <w:rsid w:val="007175D2"/>
    <w:rsid w:val="008C5444"/>
    <w:rsid w:val="00A66D51"/>
    <w:rsid w:val="00AC4CE4"/>
    <w:rsid w:val="00B2206A"/>
    <w:rsid w:val="00BF38A7"/>
    <w:rsid w:val="00C30C3E"/>
    <w:rsid w:val="00CC5837"/>
    <w:rsid w:val="00EC2AA5"/>
    <w:rsid w:val="00F0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9380"/>
  <w15:chartTrackingRefBased/>
  <w15:docId w15:val="{8C2A5838-8186-494B-BAA0-C229F191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C4C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4C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4C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4C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4C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Antonio</dc:creator>
  <cp:keywords/>
  <dc:description/>
  <cp:lastModifiedBy>María De Antonio</cp:lastModifiedBy>
  <cp:revision>4</cp:revision>
  <cp:lastPrinted>2020-07-08T10:59:00Z</cp:lastPrinted>
  <dcterms:created xsi:type="dcterms:W3CDTF">2020-07-08T10:10:00Z</dcterms:created>
  <dcterms:modified xsi:type="dcterms:W3CDTF">2020-07-08T10:59:00Z</dcterms:modified>
</cp:coreProperties>
</file>