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9EA3A06" w:rsidRDefault="09EA3A06" w:rsidP="3EC54EC8">
      <w:pPr>
        <w:spacing w:line="360" w:lineRule="auto"/>
        <w:jc w:val="both"/>
        <w:rPr>
          <w:rFonts w:ascii="Arial" w:eastAsia="Arial" w:hAnsi="Arial" w:cs="Arial"/>
          <w:b/>
          <w:bCs/>
        </w:rPr>
      </w:pPr>
      <w:r w:rsidRPr="3EC54EC8">
        <w:rPr>
          <w:rFonts w:ascii="Arial" w:eastAsia="Arial" w:hAnsi="Arial" w:cs="Arial"/>
          <w:b/>
          <w:bCs/>
          <w:sz w:val="19"/>
          <w:szCs w:val="19"/>
        </w:rPr>
        <w:t>NORMATIVA COMUNITARIA:</w:t>
      </w:r>
    </w:p>
    <w:p w:rsidR="4DB4FE90" w:rsidRDefault="00D524F2" w:rsidP="3EC54EC8">
      <w:pPr>
        <w:spacing w:line="360" w:lineRule="auto"/>
        <w:jc w:val="both"/>
        <w:rPr>
          <w:rFonts w:ascii="Arial" w:eastAsia="Arial" w:hAnsi="Arial" w:cs="Arial"/>
          <w:sz w:val="18"/>
          <w:szCs w:val="18"/>
          <w:u w:val="single"/>
        </w:rPr>
      </w:pPr>
      <w:hyperlink r:id="rId7">
        <w:r w:rsidR="4DB4FE90" w:rsidRPr="3EC54EC8">
          <w:rPr>
            <w:rStyle w:val="Hipervnculo"/>
            <w:rFonts w:ascii="Arial" w:eastAsia="Arial" w:hAnsi="Arial" w:cs="Arial"/>
            <w:color w:val="auto"/>
            <w:sz w:val="18"/>
            <w:szCs w:val="18"/>
          </w:rPr>
          <w:t>Directiva 2014/23/UE del Parlamento Europeo y del Consejo, de 26 de febrero de 2014, relativa a la adjudicación de contratos de concesión</w:t>
        </w:r>
      </w:hyperlink>
      <w:r w:rsidR="001D7E14">
        <w:rPr>
          <w:rStyle w:val="Hipervnculo"/>
          <w:rFonts w:ascii="Arial" w:eastAsia="Arial" w:hAnsi="Arial" w:cs="Arial"/>
          <w:color w:val="auto"/>
          <w:sz w:val="18"/>
          <w:szCs w:val="18"/>
        </w:rPr>
        <w:t>.</w:t>
      </w:r>
    </w:p>
    <w:p w:rsidR="4BC177D6" w:rsidRDefault="00D524F2" w:rsidP="3EC54EC8">
      <w:pPr>
        <w:spacing w:line="360" w:lineRule="auto"/>
        <w:jc w:val="both"/>
        <w:rPr>
          <w:rFonts w:ascii="Arial" w:eastAsia="Arial" w:hAnsi="Arial" w:cs="Arial"/>
          <w:sz w:val="18"/>
          <w:szCs w:val="18"/>
        </w:rPr>
      </w:pPr>
      <w:hyperlink r:id="rId8">
        <w:r w:rsidR="4BC177D6" w:rsidRPr="3EC54EC8">
          <w:rPr>
            <w:rStyle w:val="Hipervnculo"/>
            <w:rFonts w:ascii="Arial" w:eastAsia="Arial" w:hAnsi="Arial" w:cs="Arial"/>
            <w:color w:val="auto"/>
            <w:sz w:val="18"/>
            <w:szCs w:val="18"/>
          </w:rPr>
          <w:t>Directiva 2014/24/UE del Parlamento Europeo y del Consejo, de 26 de febrero de 2014, sobre contratación pública y por la que se deroga la Directiva 2004/18/CE.</w:t>
        </w:r>
      </w:hyperlink>
    </w:p>
    <w:p w:rsidR="697BD9FF" w:rsidRDefault="00D524F2" w:rsidP="3EC54EC8">
      <w:pPr>
        <w:spacing w:line="360" w:lineRule="auto"/>
        <w:jc w:val="both"/>
        <w:rPr>
          <w:rFonts w:ascii="Arial" w:eastAsia="Arial" w:hAnsi="Arial" w:cs="Arial"/>
          <w:sz w:val="18"/>
          <w:szCs w:val="18"/>
          <w:u w:val="single"/>
        </w:rPr>
      </w:pPr>
      <w:hyperlink r:id="rId9">
        <w:r w:rsidR="697BD9FF" w:rsidRPr="3EC54EC8">
          <w:rPr>
            <w:rFonts w:ascii="Arial" w:eastAsia="Arial" w:hAnsi="Arial" w:cs="Arial"/>
            <w:sz w:val="18"/>
            <w:szCs w:val="18"/>
            <w:u w:val="single"/>
          </w:rPr>
          <w:t>Directiva 2014/25/UE del Parlamento Europeo y del Consejo, de 26 de febrero de 2014, relativa a la contratación por entidades que operan en los sectores del agua, la energía, los transportes y los servicios postales y por la que se deroga la Directiva 2004/17/CE</w:t>
        </w:r>
      </w:hyperlink>
      <w:r w:rsidR="001D7E14">
        <w:rPr>
          <w:rFonts w:ascii="Arial" w:eastAsia="Arial" w:hAnsi="Arial" w:cs="Arial"/>
          <w:sz w:val="18"/>
          <w:szCs w:val="18"/>
          <w:u w:val="single"/>
        </w:rPr>
        <w:t>.</w:t>
      </w:r>
    </w:p>
    <w:p w:rsidR="2204661E" w:rsidRDefault="00D524F2" w:rsidP="3EC54EC8">
      <w:pPr>
        <w:spacing w:line="360" w:lineRule="auto"/>
        <w:jc w:val="both"/>
        <w:rPr>
          <w:rFonts w:ascii="Arial" w:eastAsia="Arial" w:hAnsi="Arial" w:cs="Arial"/>
          <w:sz w:val="18"/>
          <w:szCs w:val="18"/>
          <w:u w:val="single"/>
        </w:rPr>
      </w:pPr>
      <w:hyperlink r:id="rId10">
        <w:r w:rsidR="2204661E" w:rsidRPr="3EC54EC8">
          <w:rPr>
            <w:rFonts w:ascii="Arial" w:eastAsia="Arial" w:hAnsi="Arial" w:cs="Arial"/>
            <w:sz w:val="18"/>
            <w:szCs w:val="18"/>
            <w:u w:val="single"/>
          </w:rPr>
          <w:t>Directiva 2011/7/UE del Parlamento Europeo y del Consejo, de 16 de febrero de 2011, por la que se establecen medidas de lucha contra la morosidad en las operaciones comerciales.</w:t>
        </w:r>
      </w:hyperlink>
    </w:p>
    <w:p w:rsidR="1EE186B1" w:rsidRDefault="00D524F2" w:rsidP="3EC54EC8">
      <w:pPr>
        <w:spacing w:line="360" w:lineRule="auto"/>
        <w:jc w:val="both"/>
        <w:rPr>
          <w:rFonts w:ascii="Arial" w:eastAsia="Arial" w:hAnsi="Arial" w:cs="Arial"/>
          <w:sz w:val="18"/>
          <w:szCs w:val="18"/>
        </w:rPr>
      </w:pPr>
      <w:hyperlink r:id="rId11">
        <w:r w:rsidR="1EE186B1" w:rsidRPr="3EC54EC8">
          <w:rPr>
            <w:rStyle w:val="Hipervnculo"/>
            <w:rFonts w:ascii="Arial" w:eastAsia="Arial" w:hAnsi="Arial" w:cs="Arial"/>
            <w:color w:val="auto"/>
            <w:sz w:val="18"/>
            <w:szCs w:val="18"/>
          </w:rPr>
          <w:t>Reglamento (UE) 2018/1807 del Parlamento Europeo y del Consejo de 14 de noviembre de 2018 relativo a un marco para la libre circulación de datos no personales en la Unión Europea.</w:t>
        </w:r>
      </w:hyperlink>
    </w:p>
    <w:p w:rsidR="4BC177D6" w:rsidRDefault="00D524F2" w:rsidP="3EC54EC8">
      <w:pPr>
        <w:spacing w:line="360" w:lineRule="auto"/>
        <w:jc w:val="both"/>
        <w:rPr>
          <w:rFonts w:ascii="Arial" w:eastAsia="Arial" w:hAnsi="Arial" w:cs="Arial"/>
          <w:color w:val="000000" w:themeColor="text1"/>
          <w:sz w:val="18"/>
          <w:szCs w:val="18"/>
        </w:rPr>
      </w:pPr>
      <w:hyperlink r:id="rId12">
        <w:r w:rsidR="4BC177D6" w:rsidRPr="3EC54EC8">
          <w:rPr>
            <w:rStyle w:val="Hipervnculo"/>
            <w:rFonts w:ascii="Arial" w:eastAsia="Arial" w:hAnsi="Arial" w:cs="Arial"/>
            <w:color w:val="000000" w:themeColor="text1"/>
            <w:sz w:val="18"/>
            <w:szCs w:val="18"/>
          </w:rPr>
          <w:t>Reglamento de Ejecución (UE) 2016/7 de la Comisión de 5 de enero de 2016 por el que se establece el formulario normalizado del documento europeo único de contratación</w:t>
        </w:r>
      </w:hyperlink>
      <w:r w:rsidR="669B06BC" w:rsidRPr="3EC54EC8">
        <w:rPr>
          <w:rFonts w:ascii="Arial" w:eastAsia="Arial" w:hAnsi="Arial" w:cs="Arial"/>
          <w:color w:val="000000" w:themeColor="text1"/>
          <w:sz w:val="18"/>
          <w:szCs w:val="18"/>
        </w:rPr>
        <w:t>.</w:t>
      </w:r>
    </w:p>
    <w:p w:rsidR="669B06BC" w:rsidRDefault="00D524F2" w:rsidP="3EC54EC8">
      <w:pPr>
        <w:spacing w:line="360" w:lineRule="auto"/>
        <w:jc w:val="both"/>
        <w:rPr>
          <w:rFonts w:ascii="Arial" w:eastAsia="Arial" w:hAnsi="Arial" w:cs="Arial"/>
          <w:color w:val="000000" w:themeColor="text1"/>
          <w:sz w:val="18"/>
          <w:szCs w:val="18"/>
        </w:rPr>
      </w:pPr>
      <w:hyperlink r:id="rId13">
        <w:r w:rsidR="669B06BC" w:rsidRPr="3EC54EC8">
          <w:rPr>
            <w:rStyle w:val="Hipervnculo"/>
            <w:rFonts w:ascii="Arial" w:eastAsia="Arial" w:hAnsi="Arial" w:cs="Arial"/>
            <w:color w:val="000000" w:themeColor="text1"/>
            <w:sz w:val="18"/>
            <w:szCs w:val="18"/>
          </w:rPr>
          <w:t>REGLAMENTO DELEGADO (UE) 2019/1829 DE LA COMISIÓN de 30 de octubre de 2019, que modifica la Directiva 2014/25/UE del Parlamento Europeo y del Consejo por lo que se refiere a los umbrales para los contratos públicos de obras, suministros y servicios y los concursos de proyectos</w:t>
        </w:r>
      </w:hyperlink>
      <w:r w:rsidR="001D7E14">
        <w:rPr>
          <w:rFonts w:ascii="Arial" w:eastAsia="Arial" w:hAnsi="Arial" w:cs="Arial"/>
          <w:color w:val="000000" w:themeColor="text1"/>
          <w:sz w:val="18"/>
          <w:szCs w:val="18"/>
        </w:rPr>
        <w:t>.</w:t>
      </w:r>
    </w:p>
    <w:p w:rsidR="669B06BC" w:rsidRDefault="00D524F2" w:rsidP="3EC54EC8">
      <w:pPr>
        <w:spacing w:line="360" w:lineRule="auto"/>
        <w:jc w:val="both"/>
        <w:rPr>
          <w:rFonts w:ascii="Arial" w:eastAsia="Arial" w:hAnsi="Arial" w:cs="Arial"/>
          <w:color w:val="000000" w:themeColor="text1"/>
          <w:sz w:val="18"/>
          <w:szCs w:val="18"/>
        </w:rPr>
      </w:pPr>
      <w:hyperlink r:id="rId14">
        <w:r w:rsidR="669B06BC" w:rsidRPr="3EC54EC8">
          <w:rPr>
            <w:rStyle w:val="Hipervnculo"/>
            <w:rFonts w:ascii="Arial" w:eastAsia="Arial" w:hAnsi="Arial" w:cs="Arial"/>
            <w:color w:val="000000" w:themeColor="text1"/>
            <w:sz w:val="18"/>
            <w:szCs w:val="18"/>
          </w:rPr>
          <w:t>REGLAMENTO DELEGADO (UE) 2017/2365 DE LA COMISIÓN de 18 de diciembre de 2017 que modifica la Directiva 2014/24/UE del Parlamento Europeo y del Consejo por lo que se refiere a los umbrales de aplicación en los procedimientos de adjudicación de contratos</w:t>
        </w:r>
      </w:hyperlink>
      <w:r w:rsidR="001D7E14">
        <w:rPr>
          <w:rFonts w:ascii="Arial" w:eastAsia="Arial" w:hAnsi="Arial" w:cs="Arial"/>
          <w:color w:val="000000" w:themeColor="text1"/>
          <w:sz w:val="18"/>
          <w:szCs w:val="18"/>
        </w:rPr>
        <w:t>.</w:t>
      </w:r>
    </w:p>
    <w:p w:rsidR="669B06BC" w:rsidRDefault="00D524F2" w:rsidP="3EC54EC8">
      <w:pPr>
        <w:spacing w:line="360" w:lineRule="auto"/>
        <w:jc w:val="both"/>
        <w:rPr>
          <w:rFonts w:ascii="Arial" w:eastAsia="Arial" w:hAnsi="Arial" w:cs="Arial"/>
          <w:color w:val="000000" w:themeColor="text1"/>
          <w:sz w:val="18"/>
          <w:szCs w:val="18"/>
          <w:u w:val="single"/>
        </w:rPr>
      </w:pPr>
      <w:hyperlink r:id="rId15">
        <w:r w:rsidR="669B06BC" w:rsidRPr="3EC54EC8">
          <w:rPr>
            <w:rStyle w:val="Hipervnculo"/>
            <w:rFonts w:ascii="Arial" w:eastAsia="Arial" w:hAnsi="Arial" w:cs="Arial"/>
            <w:color w:val="000000" w:themeColor="text1"/>
            <w:sz w:val="18"/>
            <w:szCs w:val="18"/>
          </w:rPr>
          <w:t>REGLAMENTO DELEGADO (UE) 2017/2364 DE LA COMISIÓN de 18 de diciembre de 2017 que modifica la Directiva 2014/25/UE del Parlamento Europeo y del Consejo por lo que se refiere a los umbrales de aplicación en los procedimientos de adjudicación de contratos</w:t>
        </w:r>
      </w:hyperlink>
      <w:r w:rsidR="001D7E14">
        <w:rPr>
          <w:rFonts w:ascii="Arial" w:eastAsia="Arial" w:hAnsi="Arial" w:cs="Arial"/>
          <w:color w:val="000000" w:themeColor="text1"/>
          <w:sz w:val="18"/>
          <w:szCs w:val="18"/>
        </w:rPr>
        <w:t>.</w:t>
      </w:r>
    </w:p>
    <w:p w:rsidR="669B06BC" w:rsidRDefault="00D524F2" w:rsidP="3EC54EC8">
      <w:pPr>
        <w:spacing w:line="360" w:lineRule="auto"/>
        <w:jc w:val="both"/>
        <w:rPr>
          <w:rFonts w:ascii="Arial" w:eastAsia="Arial" w:hAnsi="Arial" w:cs="Arial"/>
          <w:color w:val="000000" w:themeColor="text1"/>
          <w:sz w:val="18"/>
          <w:szCs w:val="18"/>
        </w:rPr>
      </w:pPr>
      <w:hyperlink r:id="rId16">
        <w:r w:rsidR="669B06BC" w:rsidRPr="3EC54EC8">
          <w:rPr>
            <w:rStyle w:val="Hipervnculo"/>
            <w:rFonts w:ascii="Arial" w:eastAsia="Arial" w:hAnsi="Arial" w:cs="Arial"/>
            <w:color w:val="000000" w:themeColor="text1"/>
            <w:sz w:val="18"/>
            <w:szCs w:val="18"/>
          </w:rPr>
          <w:t>REGLAMENTO DELEGADO (UE) 2017/2366 DE LA COMISIÓN de 18 de diciembre de 2017 que modifica la Directiva 2014/23/UE del Parlamento Europeo y del Consejo en lo que se refiere a los umbrales de aplicación en los procedimientos de adjudicación de contratos</w:t>
        </w:r>
      </w:hyperlink>
      <w:r w:rsidR="001D7E14">
        <w:rPr>
          <w:rFonts w:ascii="Arial" w:eastAsia="Arial" w:hAnsi="Arial" w:cs="Arial"/>
          <w:color w:val="000000" w:themeColor="text1"/>
          <w:sz w:val="18"/>
          <w:szCs w:val="18"/>
        </w:rPr>
        <w:t>.</w:t>
      </w:r>
    </w:p>
    <w:p w:rsidR="669B06BC" w:rsidRDefault="00D524F2" w:rsidP="3EC54EC8">
      <w:pPr>
        <w:spacing w:line="360" w:lineRule="auto"/>
        <w:jc w:val="both"/>
        <w:rPr>
          <w:rFonts w:ascii="Arial" w:eastAsia="Arial" w:hAnsi="Arial" w:cs="Arial"/>
          <w:color w:val="000000" w:themeColor="text1"/>
          <w:sz w:val="18"/>
          <w:szCs w:val="18"/>
        </w:rPr>
      </w:pPr>
      <w:hyperlink r:id="rId17">
        <w:r w:rsidR="669B06BC" w:rsidRPr="3EC54EC8">
          <w:rPr>
            <w:rStyle w:val="Hipervnculo"/>
            <w:rFonts w:ascii="Arial" w:eastAsia="Arial" w:hAnsi="Arial" w:cs="Arial"/>
            <w:color w:val="000000" w:themeColor="text1"/>
            <w:sz w:val="18"/>
            <w:szCs w:val="18"/>
          </w:rPr>
          <w:t>REGLAMENTO (UE) 2017/2367 DE LA COMISIÓN de 18 de diciembre de 2017 que modifica la Directiva 2009/81/CE del Parlamento Europeo y del Consejo en lo relativo a los umbrales de aplicación en los procedimientos de adjudicación de contratos</w:t>
        </w:r>
      </w:hyperlink>
      <w:r w:rsidR="001D7E14">
        <w:rPr>
          <w:rFonts w:ascii="Arial" w:eastAsia="Arial" w:hAnsi="Arial" w:cs="Arial"/>
          <w:color w:val="000000" w:themeColor="text1"/>
          <w:sz w:val="18"/>
          <w:szCs w:val="18"/>
        </w:rPr>
        <w:t>.</w:t>
      </w:r>
    </w:p>
    <w:p w:rsidR="669B06BC" w:rsidRDefault="00D524F2" w:rsidP="3EC54EC8">
      <w:pPr>
        <w:spacing w:line="360" w:lineRule="auto"/>
        <w:jc w:val="both"/>
        <w:rPr>
          <w:rFonts w:ascii="Arial" w:eastAsia="Arial" w:hAnsi="Arial" w:cs="Arial"/>
          <w:color w:val="000000" w:themeColor="text1"/>
          <w:sz w:val="18"/>
          <w:szCs w:val="18"/>
        </w:rPr>
      </w:pPr>
      <w:hyperlink r:id="rId18">
        <w:r w:rsidR="669B06BC" w:rsidRPr="3EC54EC8">
          <w:rPr>
            <w:rStyle w:val="Hipervnculo"/>
            <w:rFonts w:ascii="Arial" w:eastAsia="Arial" w:hAnsi="Arial" w:cs="Arial"/>
            <w:color w:val="000000" w:themeColor="text1"/>
            <w:sz w:val="18"/>
            <w:szCs w:val="18"/>
          </w:rPr>
          <w:t>Reglamento de Ejecución (UE) 2015/1986 de la Comisión de 11 de noviembre de 2015 por el que se establecen formularios normalizados para la publicación de anuncios en el ámbito de la contratación pública y se deroga el Reglamento de Ejecución (UE) no 842/2011</w:t>
        </w:r>
      </w:hyperlink>
      <w:r w:rsidR="669B06BC" w:rsidRPr="3EC54EC8">
        <w:rPr>
          <w:rFonts w:ascii="Arial" w:eastAsia="Arial" w:hAnsi="Arial" w:cs="Arial"/>
          <w:color w:val="000000" w:themeColor="text1"/>
          <w:sz w:val="18"/>
          <w:szCs w:val="18"/>
        </w:rPr>
        <w:t xml:space="preserve"> </w:t>
      </w:r>
      <w:r w:rsidR="04598571" w:rsidRPr="3EC54EC8">
        <w:rPr>
          <w:rFonts w:ascii="Arial" w:eastAsia="Arial" w:hAnsi="Arial" w:cs="Arial"/>
          <w:color w:val="000000" w:themeColor="text1"/>
          <w:sz w:val="18"/>
          <w:szCs w:val="18"/>
        </w:rPr>
        <w:t>(DEROGADA PARCIALMENTE)</w:t>
      </w:r>
      <w:r w:rsidR="001D7E14">
        <w:rPr>
          <w:rFonts w:ascii="Arial" w:eastAsia="Arial" w:hAnsi="Arial" w:cs="Arial"/>
          <w:color w:val="000000" w:themeColor="text1"/>
          <w:sz w:val="18"/>
          <w:szCs w:val="18"/>
        </w:rPr>
        <w:t>.</w:t>
      </w:r>
    </w:p>
    <w:p w:rsidR="669B06BC" w:rsidRDefault="00D524F2" w:rsidP="3EC54EC8">
      <w:pPr>
        <w:spacing w:after="0" w:line="360" w:lineRule="auto"/>
        <w:jc w:val="both"/>
        <w:rPr>
          <w:rFonts w:ascii="Arial" w:eastAsia="Arial" w:hAnsi="Arial" w:cs="Arial"/>
          <w:color w:val="000000" w:themeColor="text1"/>
          <w:sz w:val="18"/>
          <w:szCs w:val="18"/>
        </w:rPr>
      </w:pPr>
      <w:hyperlink r:id="rId19">
        <w:r w:rsidR="669B06BC" w:rsidRPr="3EC54EC8">
          <w:rPr>
            <w:rStyle w:val="Hipervnculo"/>
            <w:rFonts w:ascii="Arial" w:eastAsia="Arial" w:hAnsi="Arial" w:cs="Arial"/>
            <w:color w:val="000000" w:themeColor="text1"/>
            <w:sz w:val="18"/>
            <w:szCs w:val="18"/>
          </w:rPr>
          <w:t>Reglamento (CE) Nº 213/2008 de la Comisión de 28 de noviembre de 2007.</w:t>
        </w:r>
      </w:hyperlink>
      <w:r w:rsidR="669B06BC" w:rsidRPr="3EC54EC8">
        <w:rPr>
          <w:rFonts w:ascii="Arial" w:eastAsia="Arial" w:hAnsi="Arial" w:cs="Arial"/>
          <w:color w:val="000000" w:themeColor="text1"/>
          <w:sz w:val="18"/>
          <w:szCs w:val="18"/>
        </w:rPr>
        <w:t xml:space="preserve"> Reglamento (CE) Nº 213/2008 de la Comisión, de 28 de noviembre de 2007 que modifica el Reglamento (CE) Nº 2195/2002 del Parlamento Europeo y del Consejo, por el que se aprueba el Vocabulario común de contratos públicos (CPV), y las Directivas </w:t>
      </w:r>
      <w:r w:rsidR="669B06BC" w:rsidRPr="3EC54EC8">
        <w:rPr>
          <w:rFonts w:ascii="Arial" w:eastAsia="Arial" w:hAnsi="Arial" w:cs="Arial"/>
          <w:color w:val="000000" w:themeColor="text1"/>
          <w:sz w:val="18"/>
          <w:szCs w:val="18"/>
        </w:rPr>
        <w:lastRenderedPageBreak/>
        <w:t>2004/17/CE y 2004/18/CE del Parlamento Europeo y del Consejo sobre los procedimientos de los contratos públicos, en lo referente a la revisión del CPV</w:t>
      </w:r>
      <w:r w:rsidR="001D7E14">
        <w:rPr>
          <w:rFonts w:ascii="Arial" w:eastAsia="Arial" w:hAnsi="Arial" w:cs="Arial"/>
          <w:color w:val="000000" w:themeColor="text1"/>
          <w:sz w:val="18"/>
          <w:szCs w:val="18"/>
        </w:rPr>
        <w:t>.</w:t>
      </w:r>
    </w:p>
    <w:p w:rsidR="001D7E14" w:rsidRDefault="001D7E14" w:rsidP="3EC54EC8">
      <w:pPr>
        <w:spacing w:after="0" w:line="360" w:lineRule="auto"/>
        <w:jc w:val="both"/>
        <w:rPr>
          <w:rFonts w:ascii="Arial" w:eastAsia="Arial" w:hAnsi="Arial" w:cs="Arial"/>
          <w:color w:val="000000" w:themeColor="text1"/>
          <w:sz w:val="18"/>
          <w:szCs w:val="18"/>
        </w:rPr>
      </w:pPr>
    </w:p>
    <w:p w:rsidR="669B06BC" w:rsidRDefault="00D524F2" w:rsidP="3EC54EC8">
      <w:pPr>
        <w:spacing w:after="0" w:line="360" w:lineRule="auto"/>
        <w:jc w:val="both"/>
        <w:rPr>
          <w:rFonts w:ascii="Arial" w:eastAsia="Arial" w:hAnsi="Arial" w:cs="Arial"/>
          <w:color w:val="000000" w:themeColor="text1"/>
          <w:sz w:val="18"/>
          <w:szCs w:val="18"/>
        </w:rPr>
      </w:pPr>
      <w:hyperlink r:id="rId20">
        <w:r w:rsidR="669B06BC" w:rsidRPr="3EC54EC8">
          <w:rPr>
            <w:rStyle w:val="Hipervnculo"/>
            <w:rFonts w:ascii="Arial" w:eastAsia="Arial" w:hAnsi="Arial" w:cs="Arial"/>
            <w:color w:val="000000" w:themeColor="text1"/>
            <w:sz w:val="18"/>
            <w:szCs w:val="18"/>
          </w:rPr>
          <w:t>Reglamento (UE) Nº 1336/2013 de la Comisión de 13 de diciembre de 2013 por el que se modifican las Directivas 2004/17/CE, 2004/18/CE y 2009/81/CE del Parlamento Europeo y del Consejo en lo que concierne a los umbrales de aplicación en materia de procedimientos de adjudicación de contratos</w:t>
        </w:r>
      </w:hyperlink>
    </w:p>
    <w:p w:rsidR="0F7ECFC8" w:rsidRDefault="0F7ECFC8" w:rsidP="3EC54EC8">
      <w:pPr>
        <w:rPr>
          <w:rFonts w:ascii="Arial" w:eastAsia="Arial" w:hAnsi="Arial" w:cs="Arial"/>
          <w:color w:val="000000" w:themeColor="text1"/>
          <w:sz w:val="18"/>
          <w:szCs w:val="18"/>
        </w:rPr>
      </w:pPr>
    </w:p>
    <w:p w:rsidR="0F7ECFC8" w:rsidRDefault="0F7ECFC8" w:rsidP="0F7ECFC8">
      <w:pPr>
        <w:rPr>
          <w:rFonts w:ascii="Arial" w:eastAsia="Arial" w:hAnsi="Arial" w:cs="Arial"/>
          <w:b/>
          <w:bCs/>
          <w:color w:val="3366CC"/>
          <w:sz w:val="18"/>
          <w:szCs w:val="18"/>
        </w:rPr>
      </w:pPr>
    </w:p>
    <w:p w:rsidR="68635A47" w:rsidRPr="001D7E14" w:rsidRDefault="273C5E3E" w:rsidP="3EC54EC8">
      <w:pPr>
        <w:rPr>
          <w:rFonts w:ascii="Arial" w:eastAsia="Arial" w:hAnsi="Arial" w:cs="Arial"/>
          <w:b/>
          <w:bCs/>
          <w:sz w:val="24"/>
          <w:szCs w:val="24"/>
        </w:rPr>
      </w:pPr>
      <w:r w:rsidRPr="001D7E14">
        <w:rPr>
          <w:rFonts w:ascii="Arial" w:eastAsia="Arial" w:hAnsi="Arial" w:cs="Arial"/>
          <w:b/>
          <w:bCs/>
          <w:sz w:val="24"/>
          <w:szCs w:val="24"/>
        </w:rPr>
        <w:t>ESTATALES:</w:t>
      </w:r>
    </w:p>
    <w:p w:rsidR="7752F8B0" w:rsidRDefault="7752F8B0" w:rsidP="3EC54EC8">
      <w:pPr>
        <w:rPr>
          <w:rFonts w:ascii="Arial" w:eastAsia="Arial" w:hAnsi="Arial" w:cs="Arial"/>
          <w:b/>
          <w:bCs/>
          <w:sz w:val="18"/>
          <w:szCs w:val="18"/>
        </w:rPr>
      </w:pPr>
      <w:r w:rsidRPr="3EC54EC8">
        <w:rPr>
          <w:rFonts w:ascii="Arial" w:eastAsia="Arial" w:hAnsi="Arial" w:cs="Arial"/>
          <w:b/>
          <w:bCs/>
          <w:sz w:val="18"/>
          <w:szCs w:val="18"/>
        </w:rPr>
        <w:t>REALES DECRETOS Y LEYES</w:t>
      </w:r>
    </w:p>
    <w:p w:rsidR="209B35BF" w:rsidRDefault="209B35BF" w:rsidP="209B35BF">
      <w:pPr>
        <w:rPr>
          <w:rFonts w:ascii="Arial" w:eastAsia="Arial" w:hAnsi="Arial" w:cs="Arial"/>
          <w:b/>
          <w:bCs/>
          <w:color w:val="3366CC"/>
          <w:sz w:val="18"/>
          <w:szCs w:val="18"/>
        </w:rPr>
      </w:pPr>
    </w:p>
    <w:p w:rsidR="68635A47" w:rsidRDefault="00D524F2" w:rsidP="3EC54EC8">
      <w:pPr>
        <w:jc w:val="both"/>
        <w:rPr>
          <w:rFonts w:ascii="Arial" w:eastAsia="Arial" w:hAnsi="Arial" w:cs="Arial"/>
          <w:sz w:val="18"/>
          <w:szCs w:val="18"/>
        </w:rPr>
      </w:pPr>
      <w:hyperlink r:id="rId21">
        <w:r w:rsidR="68635A47" w:rsidRPr="3EC54EC8">
          <w:rPr>
            <w:rStyle w:val="Hipervnculo"/>
            <w:rFonts w:ascii="Arial" w:eastAsia="Arial" w:hAnsi="Arial" w:cs="Arial"/>
            <w:color w:val="auto"/>
            <w:sz w:val="18"/>
            <w:szCs w:val="18"/>
          </w:rPr>
          <w:t>Ley 9/2017, de 8 de noviembre, de Contratos del Sector Público, por la que se transponen al ordenamiento jurídico español las Directivas del Parlamento Europeo y del Consejo 2014/23/UE y 2014/24/UE, de 26 de febrero de 2014</w:t>
        </w:r>
      </w:hyperlink>
      <w:r w:rsidR="68635A47" w:rsidRPr="3EC54EC8">
        <w:rPr>
          <w:rFonts w:ascii="Arial" w:eastAsia="Arial" w:hAnsi="Arial" w:cs="Arial"/>
          <w:sz w:val="18"/>
          <w:szCs w:val="18"/>
        </w:rPr>
        <w:t>.</w:t>
      </w:r>
    </w:p>
    <w:p w:rsidR="68635A47" w:rsidRDefault="00D524F2" w:rsidP="3EC54EC8">
      <w:pPr>
        <w:jc w:val="both"/>
        <w:rPr>
          <w:rFonts w:ascii="Arial" w:eastAsia="Arial" w:hAnsi="Arial" w:cs="Arial"/>
          <w:sz w:val="18"/>
          <w:szCs w:val="18"/>
        </w:rPr>
      </w:pPr>
      <w:hyperlink r:id="rId22">
        <w:r w:rsidR="68635A47" w:rsidRPr="3EC54EC8">
          <w:rPr>
            <w:rStyle w:val="Hipervnculo"/>
            <w:rFonts w:ascii="Arial" w:eastAsia="Arial" w:hAnsi="Arial" w:cs="Arial"/>
            <w:color w:val="auto"/>
            <w:sz w:val="18"/>
            <w:szCs w:val="18"/>
          </w:rPr>
          <w:t xml:space="preserve">Real Decreto 814/2015, de 11 de septiembre, por el que se aprueba el Reglamento de los procedimientos especiales de revisión de decisiones en materia contractual y de organización del Tribunal Administrativo Central de Recursos Contractuales. </w:t>
        </w:r>
      </w:hyperlink>
      <w:r w:rsidR="68635A47" w:rsidRPr="3EC54EC8">
        <w:rPr>
          <w:rFonts w:ascii="Arial" w:eastAsia="Arial" w:hAnsi="Arial" w:cs="Arial"/>
          <w:sz w:val="18"/>
          <w:szCs w:val="18"/>
        </w:rPr>
        <w:t>Entre otras cuestiones se regula el procedimiento de interposición de recursos ante el Tribunal Administrativo Central de Recursos Contractuales. Además, se establece la obligatoriedad de publicar en la Plataforma de Contratación del Sector Público, para los órganos de contratación del Sector Público Estatal, los pliegos de prescripciones técnicas y cláusulas administrativas, la interposición de recurso especial en materia de contratación contra alguno de los actos del procedimiento, la suspensión acordada, en su caso, y la resolución que se dicte en el mismo.</w:t>
      </w:r>
    </w:p>
    <w:p w:rsidR="6B699E7F" w:rsidRDefault="00D524F2" w:rsidP="3EC54EC8">
      <w:pPr>
        <w:jc w:val="both"/>
        <w:rPr>
          <w:rFonts w:ascii="Arial" w:eastAsia="Arial" w:hAnsi="Arial" w:cs="Arial"/>
          <w:sz w:val="18"/>
          <w:szCs w:val="18"/>
          <w:u w:val="single"/>
        </w:rPr>
      </w:pPr>
      <w:hyperlink r:id="rId23">
        <w:r w:rsidR="6B699E7F" w:rsidRPr="3EC54EC8">
          <w:rPr>
            <w:rStyle w:val="Hipervnculo"/>
            <w:rFonts w:ascii="Arial" w:eastAsia="Arial" w:hAnsi="Arial" w:cs="Arial"/>
            <w:color w:val="auto"/>
            <w:sz w:val="18"/>
            <w:szCs w:val="18"/>
          </w:rPr>
          <w:t>Real Decreto 716/2019, de 5 de diciembre, por el que se modifican el Real Decreto 773/2015, de 28 de agosto, por el que se modifican determinados preceptos del Reglamento General de la Ley de Contratos de las Administraciones Públicas, aprobado por el Real Decreto 1098/2001, de 12 de octubre, y el Real Decreto 700/1988, de 1 de julio, sobre expedientes administrativos de responsabilidad contable derivados de las infracciones previstas en el título VII de la Ley General Presupuestaria</w:t>
        </w:r>
      </w:hyperlink>
    </w:p>
    <w:p w:rsidR="68635A47" w:rsidRDefault="00D524F2" w:rsidP="3EC54EC8">
      <w:pPr>
        <w:jc w:val="both"/>
        <w:rPr>
          <w:rFonts w:ascii="Arial" w:eastAsia="Arial" w:hAnsi="Arial" w:cs="Arial"/>
          <w:sz w:val="18"/>
          <w:szCs w:val="18"/>
        </w:rPr>
      </w:pPr>
      <w:hyperlink r:id="rId24">
        <w:r w:rsidR="68635A47" w:rsidRPr="3EC54EC8">
          <w:rPr>
            <w:rStyle w:val="Hipervnculo"/>
            <w:rFonts w:ascii="Arial" w:eastAsia="Arial" w:hAnsi="Arial" w:cs="Arial"/>
            <w:color w:val="auto"/>
            <w:sz w:val="18"/>
            <w:szCs w:val="18"/>
          </w:rPr>
          <w:t xml:space="preserve">Ley 25/2013, de 27 de diciembre, de impulso de la factura electrónica y creación del registro contable de facturas en el Sector Público. </w:t>
        </w:r>
      </w:hyperlink>
      <w:r w:rsidR="68635A47" w:rsidRPr="3EC54EC8">
        <w:rPr>
          <w:rFonts w:ascii="Arial" w:eastAsia="Arial" w:hAnsi="Arial" w:cs="Arial"/>
          <w:sz w:val="18"/>
          <w:szCs w:val="18"/>
        </w:rPr>
        <w:t>Incluye una disposición adicional por la que se modifican los artículos relativos a la exigencia de clasificación, y medios para la acreditación de la solvencia, así como el ámbito subjetivo en lo que respecta a órganos constitucionales del Estado y de los órganos legislativos y de control autonómicos</w:t>
      </w:r>
      <w:r w:rsidR="50E9F51D" w:rsidRPr="3EC54EC8">
        <w:rPr>
          <w:rFonts w:ascii="Arial" w:eastAsia="Arial" w:hAnsi="Arial" w:cs="Arial"/>
          <w:sz w:val="18"/>
          <w:szCs w:val="18"/>
        </w:rPr>
        <w:t xml:space="preserve">. </w:t>
      </w:r>
    </w:p>
    <w:p w:rsidR="7DBE23D3" w:rsidRDefault="7DBE23D3" w:rsidP="3EC54EC8">
      <w:pPr>
        <w:rPr>
          <w:rFonts w:ascii="Arial" w:eastAsia="Arial" w:hAnsi="Arial" w:cs="Arial"/>
          <w:sz w:val="18"/>
          <w:szCs w:val="18"/>
        </w:rPr>
      </w:pPr>
      <w:r w:rsidRPr="3EC54EC8">
        <w:rPr>
          <w:rFonts w:ascii="Arial" w:eastAsia="Arial" w:hAnsi="Arial" w:cs="Arial"/>
          <w:b/>
          <w:bCs/>
          <w:sz w:val="18"/>
          <w:szCs w:val="18"/>
        </w:rPr>
        <w:t>Preguntas frecuentes</w:t>
      </w:r>
      <w:r w:rsidRPr="3EC54EC8">
        <w:rPr>
          <w:rFonts w:ascii="Arial" w:eastAsia="Arial" w:hAnsi="Arial" w:cs="Arial"/>
          <w:sz w:val="18"/>
          <w:szCs w:val="18"/>
        </w:rPr>
        <w:t xml:space="preserve">: </w:t>
      </w:r>
      <w:hyperlink r:id="rId25">
        <w:r w:rsidR="50E9F51D" w:rsidRPr="3EC54EC8">
          <w:rPr>
            <w:rStyle w:val="Hipervnculo"/>
            <w:rFonts w:ascii="Arial" w:eastAsia="Arial" w:hAnsi="Arial" w:cs="Arial"/>
            <w:color w:val="auto"/>
            <w:sz w:val="18"/>
            <w:szCs w:val="18"/>
          </w:rPr>
          <w:t>https://www.hacienda.gob.es/Documentacion/Publico/PortalVarios/FAQ%20e_factura.pdf</w:t>
        </w:r>
      </w:hyperlink>
      <w:r w:rsidR="001D7E14">
        <w:rPr>
          <w:rStyle w:val="Hipervnculo"/>
          <w:rFonts w:ascii="Arial" w:eastAsia="Arial" w:hAnsi="Arial" w:cs="Arial"/>
          <w:color w:val="auto"/>
          <w:sz w:val="18"/>
          <w:szCs w:val="18"/>
        </w:rPr>
        <w:t>.</w:t>
      </w:r>
    </w:p>
    <w:p w:rsidR="68635A47" w:rsidRDefault="00D524F2" w:rsidP="3EC54EC8">
      <w:pPr>
        <w:jc w:val="both"/>
        <w:rPr>
          <w:rFonts w:ascii="Arial" w:eastAsia="Arial" w:hAnsi="Arial" w:cs="Arial"/>
          <w:sz w:val="18"/>
          <w:szCs w:val="18"/>
        </w:rPr>
      </w:pPr>
      <w:hyperlink r:id="rId26">
        <w:r w:rsidR="68635A47" w:rsidRPr="3EC54EC8">
          <w:rPr>
            <w:rStyle w:val="Hipervnculo"/>
            <w:rFonts w:ascii="Arial" w:eastAsia="Arial" w:hAnsi="Arial" w:cs="Arial"/>
            <w:color w:val="auto"/>
            <w:sz w:val="18"/>
            <w:szCs w:val="18"/>
          </w:rPr>
          <w:t>Ley 20/2013, de 9 de diciembre, de garantía de la unidad de mercado.</w:t>
        </w:r>
      </w:hyperlink>
      <w:r w:rsidR="68635A47" w:rsidRPr="3EC54EC8">
        <w:rPr>
          <w:rFonts w:ascii="Arial" w:eastAsia="Arial" w:hAnsi="Arial" w:cs="Arial"/>
          <w:sz w:val="18"/>
          <w:szCs w:val="18"/>
        </w:rPr>
        <w:t xml:space="preserve"> La Plataforma de Contratación del Estado pasará a denominarse Plataforma de Contratación del Sector Público. En la Plataforma se publicará, en todo caso, bien directamente por los órganos de contratación o por interconexión con dispositivos electrónicos de agregación de la información de las diferentes administraciones y entidades públicas, la convocatoria de licitaciones y sus resultados de todas las entidades comprendidas en el apartado 1 del artículo 3 del texto refundido de la Ley de Contratos del Sector Público.</w:t>
      </w:r>
    </w:p>
    <w:p w:rsidR="68635A47" w:rsidRDefault="00D524F2" w:rsidP="3EC54EC8">
      <w:pPr>
        <w:jc w:val="both"/>
        <w:rPr>
          <w:rFonts w:ascii="Arial" w:eastAsia="Arial" w:hAnsi="Arial" w:cs="Arial"/>
          <w:sz w:val="18"/>
          <w:szCs w:val="18"/>
        </w:rPr>
      </w:pPr>
      <w:hyperlink r:id="rId27">
        <w:r w:rsidR="68635A47" w:rsidRPr="3EC54EC8">
          <w:rPr>
            <w:rStyle w:val="Hipervnculo"/>
            <w:rFonts w:ascii="Arial" w:eastAsia="Arial" w:hAnsi="Arial" w:cs="Arial"/>
            <w:color w:val="auto"/>
            <w:sz w:val="18"/>
            <w:szCs w:val="18"/>
          </w:rPr>
          <w:t>Ley 2/2011, de 4 de marzo, de Economía Sostenible.</w:t>
        </w:r>
      </w:hyperlink>
      <w:r w:rsidR="28F1D03C" w:rsidRPr="3EC54EC8">
        <w:rPr>
          <w:rFonts w:ascii="Arial" w:eastAsia="Arial" w:hAnsi="Arial" w:cs="Arial"/>
          <w:sz w:val="18"/>
          <w:szCs w:val="18"/>
        </w:rPr>
        <w:t xml:space="preserve"> </w:t>
      </w:r>
      <w:r w:rsidR="68635A47" w:rsidRPr="3EC54EC8">
        <w:rPr>
          <w:rFonts w:ascii="Arial" w:eastAsia="Arial" w:hAnsi="Arial" w:cs="Arial"/>
          <w:sz w:val="18"/>
          <w:szCs w:val="18"/>
        </w:rPr>
        <w:t>La Ley de Economía Sostenible aborda transversalmente y con alcance estructural muchos de los cambios que, con rango de ley, son necesarios para incentivar y acelerar el desarrollo de una economía más competitiva e innovadora, capaz tanto de renovar los sectores productivos tradicionales como de abrirse decididamente a las nuevas actividades demandantes de empleos estables y de calidad</w:t>
      </w:r>
      <w:r w:rsidR="74CDE7B4" w:rsidRPr="3EC54EC8">
        <w:rPr>
          <w:rFonts w:ascii="Arial" w:eastAsia="Arial" w:hAnsi="Arial" w:cs="Arial"/>
          <w:sz w:val="18"/>
          <w:szCs w:val="18"/>
        </w:rPr>
        <w:t>.</w:t>
      </w:r>
    </w:p>
    <w:p w:rsidR="2DDB9A16" w:rsidRDefault="00D524F2" w:rsidP="3EC54EC8">
      <w:pPr>
        <w:jc w:val="both"/>
        <w:rPr>
          <w:rFonts w:ascii="Arial" w:eastAsia="Arial" w:hAnsi="Arial" w:cs="Arial"/>
          <w:sz w:val="18"/>
          <w:szCs w:val="18"/>
          <w:u w:val="single"/>
        </w:rPr>
      </w:pPr>
      <w:hyperlink r:id="rId28">
        <w:r w:rsidR="2DDB9A16" w:rsidRPr="3EC54EC8">
          <w:rPr>
            <w:rStyle w:val="Hipervnculo"/>
            <w:rFonts w:ascii="Arial" w:eastAsia="Arial" w:hAnsi="Arial" w:cs="Arial"/>
            <w:color w:val="auto"/>
            <w:sz w:val="18"/>
            <w:szCs w:val="18"/>
          </w:rPr>
          <w:t>Real Decreto-ley 3/2020, de 4 de febrero, de medidas urgentes por el que se incorporan al ordenamiento jurídico español diversas directivas de la Unión Europea en el ámbito de la contratación pública en determinados sectores; de seguros privados; de planes y fondos de pensiones; del ámbito tributario y de litigios fiscales</w:t>
        </w:r>
      </w:hyperlink>
      <w:r w:rsidR="2DDB9A16" w:rsidRPr="3EC54EC8">
        <w:rPr>
          <w:rFonts w:ascii="Arial" w:eastAsia="Arial" w:hAnsi="Arial" w:cs="Arial"/>
          <w:sz w:val="18"/>
          <w:szCs w:val="18"/>
          <w:u w:val="single"/>
        </w:rPr>
        <w:t>.</w:t>
      </w:r>
    </w:p>
    <w:p w:rsidR="68635A47" w:rsidRDefault="00D524F2" w:rsidP="3EC54EC8">
      <w:pPr>
        <w:jc w:val="both"/>
        <w:rPr>
          <w:rFonts w:ascii="Arial" w:eastAsia="Arial" w:hAnsi="Arial" w:cs="Arial"/>
          <w:sz w:val="18"/>
          <w:szCs w:val="18"/>
        </w:rPr>
      </w:pPr>
      <w:hyperlink r:id="rId29">
        <w:r w:rsidR="68635A47" w:rsidRPr="3EC54EC8">
          <w:rPr>
            <w:rStyle w:val="Hipervnculo"/>
            <w:rFonts w:ascii="Arial" w:eastAsia="Arial" w:hAnsi="Arial" w:cs="Arial"/>
            <w:color w:val="auto"/>
            <w:sz w:val="18"/>
            <w:szCs w:val="18"/>
          </w:rPr>
          <w:t>Real Decreto 1098/2001, por el que se aprueba el Reglamento General de la Ley de Contratos de las Administraciones Públicas.</w:t>
        </w:r>
      </w:hyperlink>
      <w:r w:rsidR="68635A47" w:rsidRPr="3EC54EC8">
        <w:rPr>
          <w:rFonts w:ascii="Arial" w:eastAsia="Arial" w:hAnsi="Arial" w:cs="Arial"/>
          <w:sz w:val="18"/>
          <w:szCs w:val="18"/>
        </w:rPr>
        <w:t xml:space="preserve"> </w:t>
      </w:r>
    </w:p>
    <w:p w:rsidR="4EB47826" w:rsidRDefault="00D524F2" w:rsidP="3EC54EC8">
      <w:pPr>
        <w:jc w:val="both"/>
        <w:rPr>
          <w:rFonts w:ascii="Arial" w:eastAsia="Arial" w:hAnsi="Arial" w:cs="Arial"/>
          <w:sz w:val="18"/>
          <w:szCs w:val="18"/>
          <w:u w:val="single"/>
        </w:rPr>
      </w:pPr>
      <w:hyperlink r:id="rId30">
        <w:r w:rsidR="4EB47826" w:rsidRPr="3EC54EC8">
          <w:rPr>
            <w:rStyle w:val="Hipervnculo"/>
            <w:rFonts w:ascii="Arial" w:eastAsia="Arial" w:hAnsi="Arial" w:cs="Arial"/>
            <w:color w:val="auto"/>
            <w:sz w:val="18"/>
            <w:szCs w:val="18"/>
          </w:rPr>
          <w:t>Real Decreto 773/2015, de 28 de agosto, por el que se modifican determinados preceptos del Reglamento General de la Ley de Contratos de las Administraciones Públicas, aprobado por el Real Decreto 1098/2001, de 12 de octubre.</w:t>
        </w:r>
      </w:hyperlink>
    </w:p>
    <w:p w:rsidR="713EFDEA" w:rsidRDefault="713EFDEA" w:rsidP="209B35BF">
      <w:pPr>
        <w:jc w:val="both"/>
        <w:rPr>
          <w:rFonts w:ascii="Arial" w:eastAsia="Arial" w:hAnsi="Arial" w:cs="Arial"/>
          <w:b/>
          <w:bCs/>
          <w:color w:val="202020"/>
          <w:sz w:val="18"/>
          <w:szCs w:val="18"/>
        </w:rPr>
      </w:pPr>
    </w:p>
    <w:p w:rsidR="713EFDEA" w:rsidRDefault="713EFDEA" w:rsidP="001D7E14">
      <w:pPr>
        <w:spacing w:after="0" w:line="240" w:lineRule="auto"/>
        <w:jc w:val="both"/>
        <w:rPr>
          <w:rFonts w:ascii="Arial" w:eastAsia="Arial" w:hAnsi="Arial" w:cs="Arial"/>
          <w:b/>
          <w:bCs/>
          <w:sz w:val="20"/>
          <w:szCs w:val="20"/>
          <w:u w:val="single"/>
        </w:rPr>
      </w:pPr>
      <w:r w:rsidRPr="3EC54EC8">
        <w:rPr>
          <w:rFonts w:ascii="Arial" w:eastAsia="Arial" w:hAnsi="Arial" w:cs="Arial"/>
          <w:b/>
          <w:bCs/>
          <w:sz w:val="20"/>
          <w:szCs w:val="20"/>
        </w:rPr>
        <w:t>Órdenes Ministeriales y Resoluciones Administrativas</w:t>
      </w:r>
      <w:bookmarkStart w:id="0" w:name="_GoBack"/>
      <w:bookmarkEnd w:id="0"/>
    </w:p>
    <w:p w:rsidR="001D7E14" w:rsidRDefault="001D7E14" w:rsidP="001D7E14">
      <w:pPr>
        <w:spacing w:after="0"/>
        <w:jc w:val="both"/>
      </w:pPr>
    </w:p>
    <w:p w:rsidR="713EFDEA" w:rsidRDefault="00D524F2" w:rsidP="3EC54EC8">
      <w:pPr>
        <w:jc w:val="both"/>
        <w:rPr>
          <w:rFonts w:ascii="Arial" w:eastAsia="Arial" w:hAnsi="Arial" w:cs="Arial"/>
          <w:sz w:val="18"/>
          <w:szCs w:val="18"/>
        </w:rPr>
      </w:pPr>
      <w:hyperlink r:id="rId31">
        <w:r w:rsidR="713EFDEA" w:rsidRPr="3EC54EC8">
          <w:rPr>
            <w:rStyle w:val="Hipervnculo"/>
            <w:rFonts w:ascii="Arial" w:eastAsia="Arial" w:hAnsi="Arial" w:cs="Arial"/>
            <w:color w:val="auto"/>
            <w:sz w:val="18"/>
            <w:szCs w:val="18"/>
          </w:rPr>
          <w:t>Orden EHA/1220/2008, de 30 de abril</w:t>
        </w:r>
      </w:hyperlink>
      <w:r w:rsidR="713EFDEA" w:rsidRPr="3EC54EC8">
        <w:rPr>
          <w:rFonts w:ascii="Arial" w:eastAsia="Arial" w:hAnsi="Arial" w:cs="Arial"/>
          <w:sz w:val="18"/>
          <w:szCs w:val="18"/>
        </w:rPr>
        <w:t>, por la que se aprueban las instrucciones para operar en la Plataforma de Contratación del Estado.</w:t>
      </w:r>
    </w:p>
    <w:p w:rsidR="713EFDEA" w:rsidRDefault="00D524F2" w:rsidP="3EC54EC8">
      <w:pPr>
        <w:spacing w:after="0"/>
        <w:jc w:val="both"/>
        <w:rPr>
          <w:rFonts w:ascii="Arial" w:eastAsia="Arial" w:hAnsi="Arial" w:cs="Arial"/>
          <w:sz w:val="18"/>
          <w:szCs w:val="18"/>
          <w:u w:val="single"/>
        </w:rPr>
      </w:pPr>
      <w:hyperlink r:id="rId32">
        <w:r w:rsidR="713EFDEA" w:rsidRPr="3EC54EC8">
          <w:rPr>
            <w:rStyle w:val="Hipervnculo"/>
            <w:rFonts w:ascii="Arial" w:eastAsia="Arial" w:hAnsi="Arial" w:cs="Arial"/>
            <w:color w:val="auto"/>
            <w:sz w:val="18"/>
            <w:szCs w:val="18"/>
          </w:rPr>
          <w:t>Resolución de 19 de diciembre de 2016, de la Dirección General del Patrimonio del Estado</w:t>
        </w:r>
      </w:hyperlink>
      <w:r w:rsidR="713EFDEA" w:rsidRPr="3EC54EC8">
        <w:rPr>
          <w:rFonts w:ascii="Arial" w:eastAsia="Arial" w:hAnsi="Arial" w:cs="Arial"/>
          <w:sz w:val="18"/>
          <w:szCs w:val="18"/>
        </w:rPr>
        <w:t xml:space="preserve">, por la que se publica el Acuerdo del Consejo de Ministros de 16 de diciembre de 2016, por el que se instruye a las entidades del sector público estatal para dar publicidad a determinados contratos no sujetos a </w:t>
      </w:r>
      <w:r w:rsidR="713EFDEA" w:rsidRPr="3EC54EC8">
        <w:rPr>
          <w:rFonts w:ascii="Arial" w:eastAsia="Arial" w:hAnsi="Arial" w:cs="Arial"/>
          <w:sz w:val="18"/>
          <w:szCs w:val="18"/>
          <w:u w:val="single"/>
        </w:rPr>
        <w:t>regulación armonizada.</w:t>
      </w:r>
      <w:r w:rsidR="713EFDEA">
        <w:br/>
      </w:r>
    </w:p>
    <w:p w:rsidR="713EFDEA" w:rsidRDefault="00D524F2" w:rsidP="3EC54EC8">
      <w:pPr>
        <w:spacing w:after="0"/>
        <w:jc w:val="both"/>
        <w:rPr>
          <w:rFonts w:ascii="Arial" w:eastAsia="Arial" w:hAnsi="Arial" w:cs="Arial"/>
          <w:sz w:val="18"/>
          <w:szCs w:val="18"/>
          <w:u w:val="single"/>
        </w:rPr>
      </w:pPr>
      <w:hyperlink r:id="rId33">
        <w:r w:rsidR="713EFDEA" w:rsidRPr="3EC54EC8">
          <w:rPr>
            <w:rFonts w:ascii="Arial" w:eastAsia="Arial" w:hAnsi="Arial" w:cs="Arial"/>
            <w:sz w:val="18"/>
            <w:szCs w:val="18"/>
            <w:u w:val="single"/>
          </w:rPr>
          <w:t>Orden HAP/2834/2015</w:t>
        </w:r>
      </w:hyperlink>
      <w:r w:rsidR="713EFDEA" w:rsidRPr="3EC54EC8">
        <w:rPr>
          <w:rFonts w:ascii="Arial" w:eastAsia="Arial" w:hAnsi="Arial" w:cs="Arial"/>
          <w:sz w:val="18"/>
          <w:szCs w:val="18"/>
          <w:u w:val="single"/>
        </w:rPr>
        <w:t>, de 28 de diciembre, por la que se modifica la Orden EHA/1049/2008, de 10 de abril, de declaración de bienes y servicios de contratación centralizada.</w:t>
      </w:r>
    </w:p>
    <w:p w:rsidR="209B35BF" w:rsidRDefault="209B35BF" w:rsidP="3EC54EC8">
      <w:pPr>
        <w:spacing w:after="0"/>
        <w:jc w:val="both"/>
        <w:rPr>
          <w:rFonts w:ascii="Arial" w:eastAsia="Arial" w:hAnsi="Arial" w:cs="Arial"/>
          <w:sz w:val="18"/>
          <w:szCs w:val="18"/>
          <w:u w:val="single"/>
        </w:rPr>
      </w:pPr>
    </w:p>
    <w:p w:rsidR="713EFDEA" w:rsidRDefault="00D524F2" w:rsidP="3EC54EC8">
      <w:pPr>
        <w:spacing w:after="0"/>
        <w:jc w:val="both"/>
        <w:rPr>
          <w:rFonts w:ascii="Arial" w:eastAsia="Arial" w:hAnsi="Arial" w:cs="Arial"/>
          <w:sz w:val="18"/>
          <w:szCs w:val="18"/>
          <w:u w:val="single"/>
        </w:rPr>
      </w:pPr>
      <w:hyperlink r:id="rId34">
        <w:r w:rsidR="713EFDEA" w:rsidRPr="3EC54EC8">
          <w:rPr>
            <w:rFonts w:ascii="Arial" w:eastAsia="Arial" w:hAnsi="Arial" w:cs="Arial"/>
            <w:sz w:val="18"/>
            <w:szCs w:val="18"/>
            <w:u w:val="single"/>
          </w:rPr>
          <w:t>Orden EHA/1049/2008 (TEXTO CONSOLIDADO)</w:t>
        </w:r>
      </w:hyperlink>
      <w:r w:rsidR="713EFDEA" w:rsidRPr="3EC54EC8">
        <w:rPr>
          <w:rFonts w:ascii="Arial" w:eastAsia="Arial" w:hAnsi="Arial" w:cs="Arial"/>
          <w:sz w:val="18"/>
          <w:szCs w:val="18"/>
          <w:u w:val="single"/>
        </w:rPr>
        <w:t>, de 10 de abril, de declaración de bienes y servicios de contratación centralizada.</w:t>
      </w:r>
    </w:p>
    <w:p w:rsidR="209B35BF" w:rsidRDefault="209B35BF" w:rsidP="3EC54EC8">
      <w:pPr>
        <w:spacing w:after="0"/>
        <w:jc w:val="both"/>
        <w:rPr>
          <w:rFonts w:ascii="Arial" w:eastAsia="Arial" w:hAnsi="Arial" w:cs="Arial"/>
          <w:sz w:val="18"/>
          <w:szCs w:val="18"/>
          <w:u w:val="single"/>
        </w:rPr>
      </w:pPr>
    </w:p>
    <w:p w:rsidR="713EFDEA" w:rsidRDefault="00D524F2" w:rsidP="3EC54EC8">
      <w:pPr>
        <w:spacing w:after="0"/>
        <w:jc w:val="both"/>
        <w:rPr>
          <w:rFonts w:ascii="Arial" w:eastAsia="Arial" w:hAnsi="Arial" w:cs="Arial"/>
          <w:sz w:val="18"/>
          <w:szCs w:val="18"/>
          <w:u w:val="single"/>
        </w:rPr>
      </w:pPr>
      <w:hyperlink r:id="rId35">
        <w:r w:rsidR="713EFDEA" w:rsidRPr="3EC54EC8">
          <w:rPr>
            <w:rFonts w:ascii="Arial" w:eastAsia="Arial" w:hAnsi="Arial" w:cs="Arial"/>
            <w:sz w:val="18"/>
            <w:szCs w:val="18"/>
            <w:u w:val="single"/>
          </w:rPr>
          <w:t>Instrucción de 5 de julio de 2013</w:t>
        </w:r>
      </w:hyperlink>
      <w:r w:rsidR="713EFDEA" w:rsidRPr="3EC54EC8">
        <w:rPr>
          <w:rFonts w:ascii="Arial" w:eastAsia="Arial" w:hAnsi="Arial" w:cs="Arial"/>
          <w:sz w:val="18"/>
          <w:szCs w:val="18"/>
          <w:u w:val="single"/>
        </w:rPr>
        <w:t>, de la Subsecretaría de Hacienda y Administraciones Públicas en materia de centralización de contratos.</w:t>
      </w:r>
    </w:p>
    <w:p w:rsidR="209B35BF" w:rsidRDefault="209B35BF" w:rsidP="3EC54EC8">
      <w:pPr>
        <w:spacing w:after="0"/>
        <w:jc w:val="both"/>
        <w:rPr>
          <w:rFonts w:ascii="Arial" w:eastAsia="Arial" w:hAnsi="Arial" w:cs="Arial"/>
          <w:sz w:val="18"/>
          <w:szCs w:val="18"/>
          <w:u w:val="single"/>
        </w:rPr>
      </w:pPr>
    </w:p>
    <w:p w:rsidR="713EFDEA" w:rsidRDefault="00D524F2" w:rsidP="3EC54EC8">
      <w:pPr>
        <w:spacing w:after="0"/>
        <w:jc w:val="both"/>
        <w:rPr>
          <w:rFonts w:ascii="Arial" w:eastAsia="Arial" w:hAnsi="Arial" w:cs="Arial"/>
          <w:sz w:val="18"/>
          <w:szCs w:val="18"/>
        </w:rPr>
      </w:pPr>
      <w:hyperlink r:id="rId36">
        <w:r w:rsidR="713EFDEA" w:rsidRPr="3EC54EC8">
          <w:rPr>
            <w:rFonts w:ascii="Arial" w:eastAsia="Arial" w:hAnsi="Arial" w:cs="Arial"/>
            <w:sz w:val="18"/>
            <w:szCs w:val="18"/>
            <w:u w:val="single"/>
          </w:rPr>
          <w:t>Resolución de la Dirección General del Patrimonio del Estado</w:t>
        </w:r>
      </w:hyperlink>
      <w:r w:rsidR="713EFDEA" w:rsidRPr="3EC54EC8">
        <w:rPr>
          <w:rFonts w:ascii="Arial" w:eastAsia="Arial" w:hAnsi="Arial" w:cs="Arial"/>
          <w:sz w:val="18"/>
          <w:szCs w:val="18"/>
          <w:u w:val="single"/>
        </w:rPr>
        <w:t xml:space="preserve">, </w:t>
      </w:r>
      <w:r w:rsidR="713EFDEA" w:rsidRPr="3EC54EC8">
        <w:rPr>
          <w:rFonts w:ascii="Arial" w:eastAsia="Arial" w:hAnsi="Arial" w:cs="Arial"/>
          <w:sz w:val="18"/>
          <w:szCs w:val="18"/>
        </w:rPr>
        <w:t>16 de mayo de 2005, por la que se aprueba la aplicación Conecta-Patrimonio para la presentación telemática de proposiciones a los concursos de adopción de tipo de bienes y servicios de adquisición centralizada, así como de peticiones de suministros y servicios derivados de dichos concursos.</w:t>
      </w:r>
    </w:p>
    <w:p w:rsidR="209B35BF" w:rsidRDefault="209B35BF" w:rsidP="3EC54EC8">
      <w:pPr>
        <w:spacing w:after="0"/>
        <w:jc w:val="both"/>
        <w:rPr>
          <w:rFonts w:ascii="Arial" w:eastAsia="Arial" w:hAnsi="Arial" w:cs="Arial"/>
          <w:sz w:val="18"/>
          <w:szCs w:val="18"/>
          <w:u w:val="single"/>
        </w:rPr>
      </w:pPr>
    </w:p>
    <w:p w:rsidR="713EFDEA" w:rsidRDefault="00D524F2" w:rsidP="3EC54EC8">
      <w:pPr>
        <w:spacing w:after="0"/>
        <w:jc w:val="both"/>
        <w:rPr>
          <w:rFonts w:ascii="Arial" w:eastAsia="Arial" w:hAnsi="Arial" w:cs="Arial"/>
          <w:sz w:val="18"/>
          <w:szCs w:val="18"/>
        </w:rPr>
      </w:pPr>
      <w:hyperlink r:id="rId37">
        <w:r w:rsidR="713EFDEA" w:rsidRPr="3EC54EC8">
          <w:rPr>
            <w:rStyle w:val="Hipervnculo"/>
            <w:rFonts w:ascii="Arial" w:eastAsia="Arial" w:hAnsi="Arial" w:cs="Arial"/>
            <w:color w:val="auto"/>
            <w:sz w:val="18"/>
            <w:szCs w:val="18"/>
          </w:rPr>
          <w:t>Orden HFP/1298/2017</w:t>
        </w:r>
      </w:hyperlink>
      <w:r w:rsidR="713EFDEA" w:rsidRPr="3EC54EC8">
        <w:rPr>
          <w:rFonts w:ascii="Arial" w:eastAsia="Arial" w:hAnsi="Arial" w:cs="Arial"/>
          <w:sz w:val="18"/>
          <w:szCs w:val="18"/>
        </w:rPr>
        <w:t xml:space="preserve">, de 26 de diciembre, por la que se publican los límites de los distintos tipos de contratos a efectos de la contratación del sector público a partir del 1 de enero de 2018. </w:t>
      </w:r>
      <w:r w:rsidR="713EFDEA">
        <w:br/>
      </w:r>
    </w:p>
    <w:p w:rsidR="713EFDEA" w:rsidRDefault="00D524F2" w:rsidP="3EC54EC8">
      <w:pPr>
        <w:jc w:val="both"/>
        <w:rPr>
          <w:rFonts w:ascii="Arial" w:eastAsia="Arial" w:hAnsi="Arial" w:cs="Arial"/>
          <w:sz w:val="18"/>
          <w:szCs w:val="18"/>
        </w:rPr>
      </w:pPr>
      <w:hyperlink r:id="rId38">
        <w:r w:rsidR="713EFDEA" w:rsidRPr="3EC54EC8">
          <w:rPr>
            <w:rStyle w:val="Hipervnculo"/>
            <w:rFonts w:ascii="Arial" w:eastAsia="Arial" w:hAnsi="Arial" w:cs="Arial"/>
            <w:color w:val="auto"/>
            <w:sz w:val="18"/>
            <w:szCs w:val="18"/>
          </w:rPr>
          <w:t>Orden EHA/1490/2010, de 28 de mayo</w:t>
        </w:r>
      </w:hyperlink>
      <w:r w:rsidR="713EFDEA" w:rsidRPr="3EC54EC8">
        <w:rPr>
          <w:rFonts w:ascii="Arial" w:eastAsia="Arial" w:hAnsi="Arial" w:cs="Arial"/>
          <w:sz w:val="18"/>
          <w:szCs w:val="18"/>
        </w:rPr>
        <w:t>, por la que se regula el funcionamiento del Registro Oficial de Licitadores y Empresas Clasificadas del Estado.</w:t>
      </w:r>
    </w:p>
    <w:p w:rsidR="3EC54EC8" w:rsidRDefault="3EC54EC8" w:rsidP="3EC54EC8">
      <w:pPr>
        <w:jc w:val="both"/>
        <w:rPr>
          <w:rFonts w:ascii="Arial" w:eastAsia="Arial" w:hAnsi="Arial" w:cs="Arial"/>
          <w:sz w:val="18"/>
          <w:szCs w:val="18"/>
        </w:rPr>
      </w:pPr>
    </w:p>
    <w:p w:rsidR="520BC949" w:rsidRDefault="251F30FF" w:rsidP="3EC54EC8">
      <w:pPr>
        <w:jc w:val="both"/>
        <w:rPr>
          <w:rFonts w:ascii="Arial" w:eastAsia="Arial" w:hAnsi="Arial" w:cs="Arial"/>
          <w:b/>
          <w:bCs/>
          <w:sz w:val="18"/>
          <w:szCs w:val="18"/>
        </w:rPr>
      </w:pPr>
      <w:r w:rsidRPr="3EC54EC8">
        <w:rPr>
          <w:rFonts w:ascii="Arial" w:eastAsia="Arial" w:hAnsi="Arial" w:cs="Arial"/>
          <w:b/>
          <w:bCs/>
          <w:i/>
          <w:iCs/>
          <w:sz w:val="18"/>
          <w:szCs w:val="18"/>
          <w:u w:val="single"/>
        </w:rPr>
        <w:t>COVID-19</w:t>
      </w:r>
      <w:r w:rsidRPr="3EC54EC8">
        <w:rPr>
          <w:rFonts w:ascii="Arial" w:eastAsia="Arial" w:hAnsi="Arial" w:cs="Arial"/>
          <w:b/>
          <w:bCs/>
          <w:sz w:val="18"/>
          <w:szCs w:val="18"/>
        </w:rPr>
        <w:t>:</w:t>
      </w:r>
    </w:p>
    <w:p w:rsidR="088DD2A9" w:rsidRDefault="00D524F2" w:rsidP="3EC54EC8">
      <w:pPr>
        <w:spacing w:after="0"/>
        <w:jc w:val="both"/>
        <w:rPr>
          <w:rFonts w:ascii="Arial" w:eastAsia="Arial" w:hAnsi="Arial" w:cs="Arial"/>
          <w:sz w:val="18"/>
          <w:szCs w:val="18"/>
        </w:rPr>
      </w:pPr>
      <w:hyperlink r:id="rId39">
        <w:r w:rsidR="088DD2A9" w:rsidRPr="3EC54EC8">
          <w:rPr>
            <w:rFonts w:ascii="Arial" w:eastAsia="Arial" w:hAnsi="Arial" w:cs="Arial"/>
            <w:sz w:val="18"/>
            <w:szCs w:val="18"/>
            <w:u w:val="single"/>
          </w:rPr>
          <w:t>Real Decreto 463/2020, de 14 de marzo</w:t>
        </w:r>
        <w:r w:rsidR="088DD2A9" w:rsidRPr="3EC54EC8">
          <w:rPr>
            <w:rFonts w:ascii="Arial" w:eastAsia="Arial" w:hAnsi="Arial" w:cs="Arial"/>
            <w:sz w:val="18"/>
            <w:szCs w:val="18"/>
          </w:rPr>
          <w:t>, por el que se declara el estado de alarma para la gestión de la situación de crisis sanitaria ocasionada por el COVID-19</w:t>
        </w:r>
      </w:hyperlink>
    </w:p>
    <w:p w:rsidR="209B35BF" w:rsidRDefault="209B35BF" w:rsidP="3EC54EC8">
      <w:pPr>
        <w:spacing w:after="0"/>
        <w:jc w:val="both"/>
        <w:rPr>
          <w:rFonts w:ascii="Arial" w:eastAsia="Arial" w:hAnsi="Arial" w:cs="Arial"/>
          <w:sz w:val="18"/>
          <w:szCs w:val="18"/>
        </w:rPr>
      </w:pPr>
    </w:p>
    <w:p w:rsidR="713EFDEA" w:rsidRDefault="00D524F2" w:rsidP="3EC54EC8">
      <w:pPr>
        <w:spacing w:after="0"/>
        <w:jc w:val="both"/>
        <w:rPr>
          <w:rFonts w:ascii="Arial" w:eastAsia="Arial" w:hAnsi="Arial" w:cs="Arial"/>
          <w:sz w:val="18"/>
          <w:szCs w:val="18"/>
        </w:rPr>
      </w:pPr>
      <w:hyperlink r:id="rId40">
        <w:r w:rsidR="713EFDEA" w:rsidRPr="3EC54EC8">
          <w:rPr>
            <w:rFonts w:ascii="Arial" w:eastAsia="Arial" w:hAnsi="Arial" w:cs="Arial"/>
            <w:sz w:val="18"/>
            <w:szCs w:val="18"/>
          </w:rPr>
          <w:t>Interpretación de la Disposición adicional tercera del Real Decreto 463/2020, de 14 de marzo, por el que se declara el estado de alarma para la gestión de la situación de crisis sanitaria ocasionada por el COVID-19, en relación con las licitaciones de los contratos públicos</w:t>
        </w:r>
      </w:hyperlink>
      <w:r w:rsidR="713EFDEA" w:rsidRPr="3EC54EC8">
        <w:rPr>
          <w:rFonts w:ascii="Arial" w:eastAsia="Arial" w:hAnsi="Arial" w:cs="Arial"/>
          <w:sz w:val="18"/>
          <w:szCs w:val="18"/>
        </w:rPr>
        <w:t>.</w:t>
      </w:r>
    </w:p>
    <w:p w:rsidR="209B35BF" w:rsidRDefault="209B35BF" w:rsidP="3EC54EC8">
      <w:pPr>
        <w:spacing w:after="0"/>
        <w:jc w:val="both"/>
        <w:rPr>
          <w:rFonts w:ascii="Arial" w:eastAsia="Arial" w:hAnsi="Arial" w:cs="Arial"/>
          <w:sz w:val="18"/>
          <w:szCs w:val="18"/>
        </w:rPr>
      </w:pPr>
    </w:p>
    <w:p w:rsidR="21C190C0" w:rsidRDefault="00D524F2" w:rsidP="3EC54EC8">
      <w:pPr>
        <w:spacing w:after="0"/>
        <w:jc w:val="both"/>
        <w:rPr>
          <w:rFonts w:ascii="Arial" w:eastAsia="Arial" w:hAnsi="Arial" w:cs="Arial"/>
          <w:sz w:val="18"/>
          <w:szCs w:val="18"/>
        </w:rPr>
      </w:pPr>
      <w:hyperlink r:id="rId41">
        <w:r w:rsidR="21C190C0" w:rsidRPr="3EC54EC8">
          <w:rPr>
            <w:rFonts w:ascii="Arial" w:eastAsia="Arial" w:hAnsi="Arial" w:cs="Arial"/>
            <w:sz w:val="18"/>
            <w:szCs w:val="18"/>
          </w:rPr>
          <w:t>Real Decreto-ley 7/2020, de 12 de marzo, por el que se adoptan medidas urgentes para responder al impacto económico del COVID-19.</w:t>
        </w:r>
      </w:hyperlink>
    </w:p>
    <w:p w:rsidR="209B35BF" w:rsidRDefault="209B35BF" w:rsidP="3EC54EC8">
      <w:pPr>
        <w:spacing w:after="0"/>
        <w:jc w:val="both"/>
        <w:rPr>
          <w:rFonts w:ascii="Arial" w:eastAsia="Arial" w:hAnsi="Arial" w:cs="Arial"/>
          <w:sz w:val="18"/>
          <w:szCs w:val="18"/>
        </w:rPr>
      </w:pPr>
    </w:p>
    <w:p w:rsidR="4D82736A" w:rsidRDefault="00D524F2" w:rsidP="3EC54EC8">
      <w:pPr>
        <w:spacing w:after="0"/>
        <w:jc w:val="both"/>
        <w:rPr>
          <w:rFonts w:ascii="Arial" w:eastAsia="Arial" w:hAnsi="Arial" w:cs="Arial"/>
          <w:sz w:val="18"/>
          <w:szCs w:val="18"/>
        </w:rPr>
      </w:pPr>
      <w:hyperlink r:id="rId42">
        <w:r w:rsidR="4D82736A" w:rsidRPr="3EC54EC8">
          <w:rPr>
            <w:rStyle w:val="Hipervnculo"/>
            <w:rFonts w:ascii="Arial" w:eastAsia="Arial" w:hAnsi="Arial" w:cs="Arial"/>
            <w:color w:val="auto"/>
            <w:sz w:val="18"/>
            <w:szCs w:val="18"/>
          </w:rPr>
          <w:t>Real Decreto-ley 8/2020, de 17 de marzo, de medidas urgentes extraordinarias para hacer frente al impac</w:t>
        </w:r>
        <w:r w:rsidR="4D82736A" w:rsidRPr="3EC54EC8">
          <w:rPr>
            <w:rFonts w:ascii="Arial" w:eastAsia="Arial" w:hAnsi="Arial" w:cs="Arial"/>
            <w:sz w:val="18"/>
            <w:szCs w:val="18"/>
          </w:rPr>
          <w:t>to económico y social del COVID-19.</w:t>
        </w:r>
      </w:hyperlink>
    </w:p>
    <w:p w:rsidR="209B35BF" w:rsidRDefault="209B35BF" w:rsidP="3EC54EC8">
      <w:pPr>
        <w:spacing w:after="0"/>
        <w:jc w:val="both"/>
        <w:rPr>
          <w:rFonts w:ascii="Arial" w:eastAsia="Arial" w:hAnsi="Arial" w:cs="Arial"/>
          <w:sz w:val="18"/>
          <w:szCs w:val="18"/>
        </w:rPr>
      </w:pPr>
    </w:p>
    <w:p w:rsidR="0C858D9C" w:rsidRDefault="00D524F2" w:rsidP="3EC54EC8">
      <w:pPr>
        <w:spacing w:after="0"/>
        <w:jc w:val="both"/>
        <w:rPr>
          <w:rFonts w:ascii="Arial" w:eastAsia="Arial" w:hAnsi="Arial" w:cs="Arial"/>
          <w:sz w:val="18"/>
          <w:szCs w:val="18"/>
        </w:rPr>
      </w:pPr>
      <w:hyperlink r:id="rId43">
        <w:r w:rsidR="0C858D9C" w:rsidRPr="3EC54EC8">
          <w:rPr>
            <w:rFonts w:ascii="Arial" w:eastAsia="Arial" w:hAnsi="Arial" w:cs="Arial"/>
            <w:sz w:val="18"/>
            <w:szCs w:val="18"/>
          </w:rPr>
          <w:t>Real Decreto-ley 9/2020, de 27 de marzo, por el que se adoptan medidas complementarias, en el ámbito laboral, para paliar los efectos derivados del COVID-19.</w:t>
        </w:r>
      </w:hyperlink>
    </w:p>
    <w:p w:rsidR="209B35BF" w:rsidRDefault="209B35BF" w:rsidP="3EC54EC8">
      <w:pPr>
        <w:spacing w:after="0"/>
        <w:jc w:val="both"/>
        <w:rPr>
          <w:rFonts w:ascii="Arial" w:eastAsia="Arial" w:hAnsi="Arial" w:cs="Arial"/>
          <w:sz w:val="18"/>
          <w:szCs w:val="18"/>
        </w:rPr>
      </w:pPr>
    </w:p>
    <w:p w:rsidR="3517A087" w:rsidRDefault="00D524F2" w:rsidP="3EC54EC8">
      <w:pPr>
        <w:spacing w:after="0"/>
        <w:jc w:val="both"/>
        <w:rPr>
          <w:rFonts w:ascii="Arial" w:eastAsia="Arial" w:hAnsi="Arial" w:cs="Arial"/>
          <w:sz w:val="18"/>
          <w:szCs w:val="18"/>
        </w:rPr>
      </w:pPr>
      <w:hyperlink r:id="rId44">
        <w:r w:rsidR="3517A087" w:rsidRPr="3EC54EC8">
          <w:rPr>
            <w:rStyle w:val="Hipervnculo"/>
            <w:rFonts w:ascii="Arial" w:eastAsia="Arial" w:hAnsi="Arial" w:cs="Arial"/>
            <w:color w:val="auto"/>
            <w:sz w:val="18"/>
            <w:szCs w:val="18"/>
          </w:rPr>
          <w:t xml:space="preserve">Real Decreto-ley 10/2020, de 29 de marzo, por el que se regula un permiso retribuido recuperable para las personas trabajadoras por cuenta ajena que no presten servicios esenciales, con el fin de reducir la </w:t>
        </w:r>
        <w:r w:rsidR="3517A087" w:rsidRPr="3EC54EC8">
          <w:rPr>
            <w:rFonts w:ascii="Arial" w:eastAsia="Arial" w:hAnsi="Arial" w:cs="Arial"/>
            <w:sz w:val="18"/>
            <w:szCs w:val="18"/>
          </w:rPr>
          <w:t>movilidad de la población en el contexto de la lucha contra el COVID-19.</w:t>
        </w:r>
      </w:hyperlink>
    </w:p>
    <w:p w:rsidR="209B35BF" w:rsidRDefault="209B35BF" w:rsidP="3EC54EC8">
      <w:pPr>
        <w:spacing w:after="0"/>
        <w:jc w:val="both"/>
        <w:rPr>
          <w:rFonts w:ascii="Arial" w:eastAsia="Arial" w:hAnsi="Arial" w:cs="Arial"/>
          <w:sz w:val="18"/>
          <w:szCs w:val="18"/>
        </w:rPr>
      </w:pPr>
    </w:p>
    <w:p w:rsidR="254BFEDC" w:rsidRDefault="00D524F2" w:rsidP="3EC54EC8">
      <w:pPr>
        <w:spacing w:after="0"/>
        <w:jc w:val="both"/>
        <w:rPr>
          <w:rFonts w:ascii="Arial" w:eastAsia="Arial" w:hAnsi="Arial" w:cs="Arial"/>
          <w:sz w:val="18"/>
          <w:szCs w:val="18"/>
        </w:rPr>
      </w:pPr>
      <w:hyperlink r:id="rId45">
        <w:r w:rsidR="254BFEDC" w:rsidRPr="3EC54EC8">
          <w:rPr>
            <w:rFonts w:ascii="Arial" w:eastAsia="Arial" w:hAnsi="Arial" w:cs="Arial"/>
            <w:sz w:val="18"/>
            <w:szCs w:val="18"/>
          </w:rPr>
          <w:t>Real Decreto-ley 11/2020, de 31 de marzo, por el que se adoptan medidas urgentes complementarias en el ámbito social y económico para hacer frente al COVID-19.</w:t>
        </w:r>
      </w:hyperlink>
    </w:p>
    <w:p w:rsidR="209B35BF" w:rsidRDefault="209B35BF" w:rsidP="3EC54EC8">
      <w:pPr>
        <w:rPr>
          <w:rFonts w:ascii="Arial" w:eastAsia="Arial" w:hAnsi="Arial" w:cs="Arial"/>
          <w:sz w:val="18"/>
          <w:szCs w:val="18"/>
        </w:rPr>
      </w:pPr>
    </w:p>
    <w:p w:rsidR="209B35BF" w:rsidRDefault="7CAAB614" w:rsidP="3EC54EC8">
      <w:pPr>
        <w:rPr>
          <w:rFonts w:ascii="Arial" w:eastAsia="Arial" w:hAnsi="Arial" w:cs="Arial"/>
          <w:b/>
          <w:bCs/>
          <w:sz w:val="18"/>
          <w:szCs w:val="18"/>
        </w:rPr>
      </w:pPr>
      <w:r w:rsidRPr="3EC54EC8">
        <w:rPr>
          <w:rFonts w:ascii="Arial" w:eastAsia="Arial" w:hAnsi="Arial" w:cs="Arial"/>
          <w:b/>
          <w:bCs/>
          <w:sz w:val="18"/>
          <w:szCs w:val="18"/>
        </w:rPr>
        <w:t>AUTONÓMICAS</w:t>
      </w:r>
    </w:p>
    <w:p w:rsidR="4514E746" w:rsidRDefault="00D524F2" w:rsidP="3EC54EC8">
      <w:hyperlink r:id="rId46">
        <w:r w:rsidR="4514E746" w:rsidRPr="3EC54EC8">
          <w:rPr>
            <w:rStyle w:val="Hipervnculo"/>
            <w:rFonts w:ascii="Arial" w:eastAsia="Arial" w:hAnsi="Arial" w:cs="Arial"/>
            <w:color w:val="191A1F"/>
            <w:sz w:val="18"/>
            <w:szCs w:val="18"/>
          </w:rPr>
          <w:t>Acuerdo de 27 de enero de 2017, del Consell, por el que se establecen instrucciones para dar publicidad a determinados contratos no sujetos a regulación armonizada.</w:t>
        </w:r>
      </w:hyperlink>
    </w:p>
    <w:p w:rsidR="3F18A5B1" w:rsidRDefault="00D524F2" w:rsidP="3EC54EC8">
      <w:pPr>
        <w:jc w:val="both"/>
        <w:rPr>
          <w:rFonts w:ascii="Arial" w:eastAsia="Arial" w:hAnsi="Arial" w:cs="Arial"/>
          <w:color w:val="191A1F"/>
          <w:sz w:val="18"/>
          <w:szCs w:val="18"/>
        </w:rPr>
      </w:pPr>
      <w:hyperlink r:id="rId47">
        <w:r w:rsidR="3F18A5B1" w:rsidRPr="3EC54EC8">
          <w:rPr>
            <w:rStyle w:val="Hipervnculo"/>
            <w:rFonts w:ascii="Arial" w:eastAsia="Arial" w:hAnsi="Arial" w:cs="Arial"/>
            <w:color w:val="191A1F"/>
            <w:sz w:val="18"/>
            <w:szCs w:val="18"/>
          </w:rPr>
          <w:t>Decreto 35/2018, de 23 de marzo, del Consell, por el que se regula la Junta Superior de Contratación Administrativa, el Registro Oficial de Contratos de la Generalitat, el Registro de contratistas y empresas clasificadas de la Comunitat Valenciana y la Central de Compras de la Generalitat y se adoptan medidas respecto de la contratación centralizada.</w:t>
        </w:r>
      </w:hyperlink>
    </w:p>
    <w:p w:rsidR="270F7652" w:rsidRDefault="00D524F2" w:rsidP="3EC54EC8">
      <w:pPr>
        <w:jc w:val="both"/>
      </w:pPr>
      <w:hyperlink r:id="rId48">
        <w:r w:rsidR="270F7652" w:rsidRPr="3EC54EC8">
          <w:rPr>
            <w:rStyle w:val="Hipervnculo"/>
            <w:rFonts w:ascii="Arial" w:eastAsia="Arial" w:hAnsi="Arial" w:cs="Arial"/>
            <w:color w:val="191A1F"/>
            <w:sz w:val="18"/>
            <w:szCs w:val="18"/>
          </w:rPr>
          <w:t>Acuerdo de 4 de agosto de 2016, del Consell, por el que se aprueba la Guía práctica para la inclusión de cláusulas de responsabilidad social en la contratación y en subvenciones de la Generalitat y su sector público.</w:t>
        </w:r>
      </w:hyperlink>
    </w:p>
    <w:p w:rsidR="3EC54EC8" w:rsidRDefault="3EC54EC8" w:rsidP="3EC54EC8">
      <w:pPr>
        <w:jc w:val="both"/>
        <w:rPr>
          <w:rFonts w:ascii="Arial" w:eastAsia="Arial" w:hAnsi="Arial" w:cs="Arial"/>
          <w:b/>
          <w:bCs/>
          <w:color w:val="191A1F"/>
          <w:sz w:val="18"/>
          <w:szCs w:val="18"/>
        </w:rPr>
      </w:pPr>
    </w:p>
    <w:p w:rsidR="4F517450" w:rsidRDefault="4F517450" w:rsidP="3EC54EC8">
      <w:pPr>
        <w:jc w:val="both"/>
        <w:rPr>
          <w:rFonts w:ascii="Arial" w:eastAsia="Arial" w:hAnsi="Arial" w:cs="Arial"/>
          <w:b/>
          <w:bCs/>
          <w:color w:val="191A1F"/>
          <w:sz w:val="18"/>
          <w:szCs w:val="18"/>
        </w:rPr>
      </w:pPr>
      <w:r w:rsidRPr="3EC54EC8">
        <w:rPr>
          <w:rFonts w:ascii="Arial" w:eastAsia="Arial" w:hAnsi="Arial" w:cs="Arial"/>
          <w:b/>
          <w:bCs/>
          <w:color w:val="191A1F"/>
          <w:sz w:val="18"/>
          <w:szCs w:val="18"/>
        </w:rPr>
        <w:t>OTRAS</w:t>
      </w:r>
    </w:p>
    <w:p w:rsidR="0A2EA7EB" w:rsidRDefault="00D524F2" w:rsidP="3EC54EC8">
      <w:pPr>
        <w:jc w:val="both"/>
        <w:rPr>
          <w:rFonts w:ascii="Arial" w:eastAsia="Arial" w:hAnsi="Arial" w:cs="Arial"/>
          <w:sz w:val="18"/>
          <w:szCs w:val="18"/>
        </w:rPr>
      </w:pPr>
      <w:hyperlink r:id="rId49">
        <w:r w:rsidR="0A2EA7EB" w:rsidRPr="3EC54EC8">
          <w:rPr>
            <w:rStyle w:val="Hipervnculo"/>
            <w:rFonts w:ascii="Arial" w:eastAsia="Arial" w:hAnsi="Arial" w:cs="Arial"/>
            <w:caps/>
            <w:color w:val="auto"/>
            <w:sz w:val="18"/>
            <w:szCs w:val="18"/>
          </w:rPr>
          <w:t>JUNTA SUPERIOR DE CONTRATACIÓN ADMINISTRATIVA GVA</w:t>
        </w:r>
      </w:hyperlink>
    </w:p>
    <w:p w:rsidR="4BA493CC" w:rsidRDefault="00D524F2" w:rsidP="3EC54EC8">
      <w:pPr>
        <w:jc w:val="both"/>
      </w:pPr>
      <w:hyperlink r:id="rId50">
        <w:r w:rsidR="4BA493CC" w:rsidRPr="3EC54EC8">
          <w:rPr>
            <w:rStyle w:val="Hipervnculo"/>
            <w:rFonts w:ascii="Arial" w:eastAsia="Arial" w:hAnsi="Arial" w:cs="Arial"/>
            <w:caps/>
            <w:color w:val="auto"/>
            <w:sz w:val="18"/>
            <w:szCs w:val="18"/>
          </w:rPr>
          <w:t>JUNTA CONSULTIVA DE CONTRATACIÓN PÚBLICA DEL ESTADO</w:t>
        </w:r>
      </w:hyperlink>
    </w:p>
    <w:p w:rsidR="3EC54EC8" w:rsidRDefault="3EC54EC8" w:rsidP="3EC54EC8">
      <w:pPr>
        <w:jc w:val="both"/>
      </w:pPr>
    </w:p>
    <w:p w:rsidR="2BEC200B" w:rsidRDefault="2BEC200B" w:rsidP="3EC54EC8">
      <w:pPr>
        <w:jc w:val="both"/>
        <w:rPr>
          <w:rFonts w:ascii="Arial" w:eastAsia="Arial" w:hAnsi="Arial" w:cs="Arial"/>
          <w:b/>
          <w:bCs/>
          <w:sz w:val="18"/>
          <w:szCs w:val="18"/>
        </w:rPr>
      </w:pPr>
      <w:r w:rsidRPr="3EC54EC8">
        <w:rPr>
          <w:rFonts w:ascii="Arial" w:eastAsia="Arial" w:hAnsi="Arial" w:cs="Arial"/>
          <w:b/>
          <w:bCs/>
          <w:sz w:val="18"/>
          <w:szCs w:val="18"/>
        </w:rPr>
        <w:t xml:space="preserve">Normativa relativa al CPV </w:t>
      </w:r>
    </w:p>
    <w:p w:rsidR="6BF93FBA" w:rsidRDefault="00D524F2" w:rsidP="3EC54EC8">
      <w:pPr>
        <w:jc w:val="both"/>
        <w:rPr>
          <w:rFonts w:ascii="Arial" w:eastAsia="Arial" w:hAnsi="Arial" w:cs="Arial"/>
          <w:sz w:val="18"/>
          <w:szCs w:val="18"/>
        </w:rPr>
      </w:pPr>
      <w:hyperlink r:id="rId51">
        <w:r w:rsidR="6BF93FBA" w:rsidRPr="3EC54EC8">
          <w:rPr>
            <w:rStyle w:val="Hipervnculo"/>
            <w:rFonts w:ascii="Arial" w:eastAsia="Arial" w:hAnsi="Arial" w:cs="Arial"/>
            <w:color w:val="auto"/>
            <w:sz w:val="18"/>
            <w:szCs w:val="18"/>
          </w:rPr>
          <w:t>Reglamento CPV</w:t>
        </w:r>
      </w:hyperlink>
    </w:p>
    <w:p w:rsidR="1C14F06B" w:rsidRDefault="00D524F2" w:rsidP="3EC54EC8">
      <w:pPr>
        <w:jc w:val="both"/>
        <w:rPr>
          <w:rFonts w:ascii="Arial" w:eastAsia="Arial" w:hAnsi="Arial" w:cs="Arial"/>
          <w:sz w:val="18"/>
          <w:szCs w:val="18"/>
        </w:rPr>
      </w:pPr>
      <w:hyperlink r:id="rId52">
        <w:r w:rsidR="1C14F06B" w:rsidRPr="3EC54EC8">
          <w:rPr>
            <w:rStyle w:val="Hipervnculo"/>
            <w:rFonts w:ascii="Arial" w:eastAsia="Arial" w:hAnsi="Arial" w:cs="Arial"/>
            <w:color w:val="auto"/>
            <w:sz w:val="18"/>
            <w:szCs w:val="18"/>
          </w:rPr>
          <w:t>Tabla de correspondencia CPV y NACE</w:t>
        </w:r>
      </w:hyperlink>
    </w:p>
    <w:p w:rsidR="209B35BF" w:rsidRDefault="00D524F2" w:rsidP="3EC54EC8">
      <w:pPr>
        <w:spacing w:after="0"/>
        <w:jc w:val="both"/>
        <w:rPr>
          <w:rFonts w:ascii="Arial" w:eastAsia="Arial" w:hAnsi="Arial" w:cs="Arial"/>
          <w:sz w:val="18"/>
          <w:szCs w:val="18"/>
        </w:rPr>
      </w:pPr>
      <w:hyperlink r:id="rId53">
        <w:r w:rsidR="02BEAAFE" w:rsidRPr="3EC54EC8">
          <w:rPr>
            <w:rStyle w:val="Hipervnculo"/>
            <w:rFonts w:ascii="Arial" w:eastAsia="Arial" w:hAnsi="Arial" w:cs="Arial"/>
            <w:color w:val="auto"/>
            <w:sz w:val="18"/>
            <w:szCs w:val="18"/>
          </w:rPr>
          <w:t>CPV suplementario</w:t>
        </w:r>
      </w:hyperlink>
    </w:p>
    <w:p w:rsidR="3EC54EC8" w:rsidRDefault="3EC54EC8" w:rsidP="3EC54EC8">
      <w:pPr>
        <w:spacing w:after="0"/>
        <w:jc w:val="both"/>
        <w:rPr>
          <w:rFonts w:ascii="Arial" w:eastAsia="Arial" w:hAnsi="Arial" w:cs="Arial"/>
          <w:sz w:val="18"/>
          <w:szCs w:val="18"/>
        </w:rPr>
      </w:pPr>
    </w:p>
    <w:p w:rsidR="02BEAAFE" w:rsidRDefault="00D524F2" w:rsidP="3EC54EC8">
      <w:pPr>
        <w:spacing w:after="0"/>
        <w:jc w:val="both"/>
        <w:rPr>
          <w:rFonts w:ascii="Arial" w:eastAsia="Arial" w:hAnsi="Arial" w:cs="Arial"/>
          <w:sz w:val="18"/>
          <w:szCs w:val="18"/>
        </w:rPr>
      </w:pPr>
      <w:hyperlink r:id="rId54">
        <w:r w:rsidR="02BEAAFE" w:rsidRPr="3EC54EC8">
          <w:rPr>
            <w:rStyle w:val="Hipervnculo"/>
            <w:rFonts w:ascii="Arial" w:eastAsia="Arial" w:hAnsi="Arial" w:cs="Arial"/>
            <w:color w:val="auto"/>
            <w:sz w:val="18"/>
            <w:szCs w:val="18"/>
          </w:rPr>
          <w:t>VOCABULARIO COMÚN DE CONTRATOS PÚBLICOS</w:t>
        </w:r>
      </w:hyperlink>
    </w:p>
    <w:p w:rsidR="3EC54EC8" w:rsidRDefault="3EC54EC8" w:rsidP="3EC54EC8">
      <w:pPr>
        <w:spacing w:after="0"/>
        <w:jc w:val="both"/>
        <w:rPr>
          <w:rFonts w:ascii="Arial" w:eastAsia="Arial" w:hAnsi="Arial" w:cs="Arial"/>
          <w:sz w:val="18"/>
          <w:szCs w:val="18"/>
        </w:rPr>
      </w:pPr>
    </w:p>
    <w:p w:rsidR="3EC54EC8" w:rsidRDefault="3EC54EC8" w:rsidP="3EC54EC8">
      <w:pPr>
        <w:spacing w:after="0"/>
        <w:jc w:val="both"/>
        <w:rPr>
          <w:rFonts w:ascii="Arial" w:eastAsia="Arial" w:hAnsi="Arial" w:cs="Arial"/>
          <w:sz w:val="18"/>
          <w:szCs w:val="18"/>
        </w:rPr>
      </w:pPr>
    </w:p>
    <w:p w:rsidR="3EC54EC8" w:rsidRDefault="3EC54EC8" w:rsidP="3EC54EC8">
      <w:pPr>
        <w:spacing w:after="0"/>
        <w:jc w:val="both"/>
        <w:rPr>
          <w:rFonts w:ascii="Arial" w:eastAsia="Arial" w:hAnsi="Arial" w:cs="Arial"/>
          <w:sz w:val="18"/>
          <w:szCs w:val="18"/>
        </w:rPr>
      </w:pPr>
    </w:p>
    <w:p w:rsidR="2783DB61" w:rsidRDefault="00D524F2" w:rsidP="3EC54EC8">
      <w:pPr>
        <w:spacing w:after="0"/>
        <w:jc w:val="both"/>
        <w:rPr>
          <w:b/>
          <w:bCs/>
        </w:rPr>
      </w:pPr>
      <w:hyperlink r:id="rId55">
        <w:r w:rsidR="2783DB61" w:rsidRPr="3EC54EC8">
          <w:rPr>
            <w:rStyle w:val="Hipervnculo"/>
            <w:rFonts w:ascii="Arial" w:eastAsia="Arial" w:hAnsi="Arial" w:cs="Arial"/>
            <w:b/>
            <w:bCs/>
            <w:color w:val="auto"/>
            <w:sz w:val="18"/>
            <w:szCs w:val="18"/>
          </w:rPr>
          <w:t>PLATAFORMA DE CONTRATACIÓN DEL ESTADO</w:t>
        </w:r>
      </w:hyperlink>
    </w:p>
    <w:sectPr w:rsidR="2783DB61" w:rsidSect="00D524F2">
      <w:headerReference w:type="default" r:id="rId56"/>
      <w:footerReference w:type="default" r:id="rId5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22D" w:rsidRDefault="0050322D">
      <w:pPr>
        <w:spacing w:after="0" w:line="240" w:lineRule="auto"/>
      </w:pPr>
      <w:r>
        <w:separator/>
      </w:r>
    </w:p>
  </w:endnote>
  <w:endnote w:type="continuationSeparator" w:id="0">
    <w:p w:rsidR="0050322D" w:rsidRDefault="00503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009"/>
      <w:gridCol w:w="3009"/>
      <w:gridCol w:w="3009"/>
    </w:tblGrid>
    <w:tr w:rsidR="0F7ECFC8" w:rsidTr="0F7ECFC8">
      <w:tc>
        <w:tcPr>
          <w:tcW w:w="3009" w:type="dxa"/>
        </w:tcPr>
        <w:p w:rsidR="0F7ECFC8" w:rsidRDefault="0F7ECFC8" w:rsidP="0F7ECFC8">
          <w:pPr>
            <w:pStyle w:val="Encabezado"/>
            <w:ind w:left="-115"/>
          </w:pPr>
        </w:p>
      </w:tc>
      <w:tc>
        <w:tcPr>
          <w:tcW w:w="3009" w:type="dxa"/>
        </w:tcPr>
        <w:p w:rsidR="0F7ECFC8" w:rsidRDefault="0F7ECFC8" w:rsidP="0F7ECFC8">
          <w:pPr>
            <w:pStyle w:val="Encabezado"/>
            <w:jc w:val="center"/>
          </w:pPr>
        </w:p>
      </w:tc>
      <w:tc>
        <w:tcPr>
          <w:tcW w:w="3009" w:type="dxa"/>
        </w:tcPr>
        <w:p w:rsidR="0F7ECFC8" w:rsidRDefault="0F7ECFC8" w:rsidP="0F7ECFC8">
          <w:pPr>
            <w:pStyle w:val="Encabezado"/>
            <w:ind w:right="-115"/>
            <w:jc w:val="right"/>
          </w:pPr>
        </w:p>
      </w:tc>
    </w:tr>
  </w:tbl>
  <w:p w:rsidR="0F7ECFC8" w:rsidRDefault="0F7ECFC8" w:rsidP="0F7ECFC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22D" w:rsidRDefault="0050322D">
      <w:pPr>
        <w:spacing w:after="0" w:line="240" w:lineRule="auto"/>
      </w:pPr>
      <w:r>
        <w:separator/>
      </w:r>
    </w:p>
  </w:footnote>
  <w:footnote w:type="continuationSeparator" w:id="0">
    <w:p w:rsidR="0050322D" w:rsidRDefault="005032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009"/>
      <w:gridCol w:w="3009"/>
      <w:gridCol w:w="3009"/>
    </w:tblGrid>
    <w:tr w:rsidR="0F7ECFC8" w:rsidTr="3EC54EC8">
      <w:tc>
        <w:tcPr>
          <w:tcW w:w="3009" w:type="dxa"/>
        </w:tcPr>
        <w:tbl>
          <w:tblPr>
            <w:tblW w:w="2858" w:type="dxa"/>
            <w:tblLayout w:type="fixed"/>
            <w:tblLook w:val="06A0"/>
          </w:tblPr>
          <w:tblGrid>
            <w:gridCol w:w="2589"/>
            <w:gridCol w:w="269"/>
          </w:tblGrid>
          <w:tr w:rsidR="0F7ECFC8" w:rsidTr="008F7016">
            <w:tc>
              <w:tcPr>
                <w:tcW w:w="2589" w:type="dxa"/>
              </w:tcPr>
              <w:p w:rsidR="0F7ECFC8" w:rsidRDefault="0F7ECFC8" w:rsidP="0F7ECFC8">
                <w:pPr>
                  <w:spacing w:after="0" w:line="240" w:lineRule="auto"/>
                  <w:ind w:left="-115"/>
                  <w:rPr>
                    <w:rFonts w:ascii="Calibri" w:eastAsia="Calibri" w:hAnsi="Calibri" w:cs="Calibri"/>
                  </w:rPr>
                </w:pPr>
              </w:p>
              <w:p w:rsidR="0F7ECFC8" w:rsidRDefault="3EC54EC8" w:rsidP="0F7ECFC8">
                <w:pPr>
                  <w:spacing w:after="0" w:line="240" w:lineRule="auto"/>
                  <w:ind w:left="-115"/>
                  <w:rPr>
                    <w:rFonts w:ascii="Calibri" w:eastAsia="Calibri" w:hAnsi="Calibri" w:cs="Calibri"/>
                  </w:rPr>
                </w:pPr>
                <w:r>
                  <w:rPr>
                    <w:noProof/>
                    <w:lang w:eastAsia="es-ES"/>
                  </w:rPr>
                  <w:drawing>
                    <wp:inline distT="0" distB="0" distL="0" distR="0">
                      <wp:extent cx="1743075" cy="628650"/>
                      <wp:effectExtent l="0" t="0" r="0" b="0"/>
                      <wp:docPr id="2005374459" name="Imagen 2005374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43075" cy="628650"/>
                              </a:xfrm>
                              <a:prstGeom prst="rect">
                                <a:avLst/>
                              </a:prstGeom>
                            </pic:spPr>
                          </pic:pic>
                        </a:graphicData>
                      </a:graphic>
                    </wp:inline>
                  </w:drawing>
                </w:r>
              </w:p>
            </w:tc>
            <w:tc>
              <w:tcPr>
                <w:tcW w:w="269" w:type="dxa"/>
              </w:tcPr>
              <w:p w:rsidR="0F7ECFC8" w:rsidRDefault="0F7ECFC8" w:rsidP="0F7ECFC8">
                <w:pPr>
                  <w:spacing w:after="0" w:line="240" w:lineRule="auto"/>
                  <w:jc w:val="center"/>
                  <w:rPr>
                    <w:rFonts w:ascii="Calibri" w:eastAsia="Calibri" w:hAnsi="Calibri" w:cs="Calibri"/>
                  </w:rPr>
                </w:pPr>
              </w:p>
            </w:tc>
          </w:tr>
        </w:tbl>
        <w:p w:rsidR="0F7ECFC8" w:rsidRDefault="0F7ECFC8" w:rsidP="0F7ECFC8">
          <w:pPr>
            <w:pStyle w:val="Encabezado"/>
            <w:ind w:left="-115"/>
          </w:pPr>
        </w:p>
      </w:tc>
      <w:tc>
        <w:tcPr>
          <w:tcW w:w="3009" w:type="dxa"/>
        </w:tcPr>
        <w:p w:rsidR="0F7ECFC8" w:rsidRDefault="0F7ECFC8" w:rsidP="0F7ECFC8">
          <w:pPr>
            <w:pStyle w:val="Encabezado"/>
            <w:jc w:val="center"/>
          </w:pPr>
        </w:p>
      </w:tc>
      <w:tc>
        <w:tcPr>
          <w:tcW w:w="3009" w:type="dxa"/>
        </w:tcPr>
        <w:p w:rsidR="0F7ECFC8" w:rsidRDefault="0F7ECFC8" w:rsidP="0F7ECFC8">
          <w:pPr>
            <w:pStyle w:val="Encabezado"/>
            <w:ind w:right="-115"/>
            <w:jc w:val="right"/>
          </w:pPr>
        </w:p>
      </w:tc>
    </w:tr>
  </w:tbl>
  <w:p w:rsidR="0F7ECFC8" w:rsidRDefault="0F7ECFC8" w:rsidP="0F7ECFC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A07A6"/>
    <w:multiLevelType w:val="hybridMultilevel"/>
    <w:tmpl w:val="27CE73AA"/>
    <w:lvl w:ilvl="0" w:tplc="B5F2B7F4">
      <w:start w:val="1"/>
      <w:numFmt w:val="bullet"/>
      <w:lvlText w:val=""/>
      <w:lvlJc w:val="left"/>
      <w:pPr>
        <w:ind w:left="720" w:hanging="360"/>
      </w:pPr>
      <w:rPr>
        <w:rFonts w:ascii="Symbol" w:hAnsi="Symbol" w:hint="default"/>
      </w:rPr>
    </w:lvl>
    <w:lvl w:ilvl="1" w:tplc="A2CABA2C">
      <w:start w:val="1"/>
      <w:numFmt w:val="bullet"/>
      <w:lvlText w:val="o"/>
      <w:lvlJc w:val="left"/>
      <w:pPr>
        <w:ind w:left="1440" w:hanging="360"/>
      </w:pPr>
      <w:rPr>
        <w:rFonts w:ascii="Courier New" w:hAnsi="Courier New" w:hint="default"/>
      </w:rPr>
    </w:lvl>
    <w:lvl w:ilvl="2" w:tplc="DF58F8B6">
      <w:start w:val="1"/>
      <w:numFmt w:val="bullet"/>
      <w:lvlText w:val=""/>
      <w:lvlJc w:val="left"/>
      <w:pPr>
        <w:ind w:left="2160" w:hanging="360"/>
      </w:pPr>
      <w:rPr>
        <w:rFonts w:ascii="Wingdings" w:hAnsi="Wingdings" w:hint="default"/>
      </w:rPr>
    </w:lvl>
    <w:lvl w:ilvl="3" w:tplc="E2600F6C">
      <w:start w:val="1"/>
      <w:numFmt w:val="bullet"/>
      <w:lvlText w:val=""/>
      <w:lvlJc w:val="left"/>
      <w:pPr>
        <w:ind w:left="2880" w:hanging="360"/>
      </w:pPr>
      <w:rPr>
        <w:rFonts w:ascii="Symbol" w:hAnsi="Symbol" w:hint="default"/>
      </w:rPr>
    </w:lvl>
    <w:lvl w:ilvl="4" w:tplc="0C3A55D4">
      <w:start w:val="1"/>
      <w:numFmt w:val="bullet"/>
      <w:lvlText w:val="o"/>
      <w:lvlJc w:val="left"/>
      <w:pPr>
        <w:ind w:left="3600" w:hanging="360"/>
      </w:pPr>
      <w:rPr>
        <w:rFonts w:ascii="Courier New" w:hAnsi="Courier New" w:hint="default"/>
      </w:rPr>
    </w:lvl>
    <w:lvl w:ilvl="5" w:tplc="32FA057E">
      <w:start w:val="1"/>
      <w:numFmt w:val="bullet"/>
      <w:lvlText w:val=""/>
      <w:lvlJc w:val="left"/>
      <w:pPr>
        <w:ind w:left="4320" w:hanging="360"/>
      </w:pPr>
      <w:rPr>
        <w:rFonts w:ascii="Wingdings" w:hAnsi="Wingdings" w:hint="default"/>
      </w:rPr>
    </w:lvl>
    <w:lvl w:ilvl="6" w:tplc="1E863A36">
      <w:start w:val="1"/>
      <w:numFmt w:val="bullet"/>
      <w:lvlText w:val=""/>
      <w:lvlJc w:val="left"/>
      <w:pPr>
        <w:ind w:left="5040" w:hanging="360"/>
      </w:pPr>
      <w:rPr>
        <w:rFonts w:ascii="Symbol" w:hAnsi="Symbol" w:hint="default"/>
      </w:rPr>
    </w:lvl>
    <w:lvl w:ilvl="7" w:tplc="85602000">
      <w:start w:val="1"/>
      <w:numFmt w:val="bullet"/>
      <w:lvlText w:val="o"/>
      <w:lvlJc w:val="left"/>
      <w:pPr>
        <w:ind w:left="5760" w:hanging="360"/>
      </w:pPr>
      <w:rPr>
        <w:rFonts w:ascii="Courier New" w:hAnsi="Courier New" w:hint="default"/>
      </w:rPr>
    </w:lvl>
    <w:lvl w:ilvl="8" w:tplc="20E8CDF6">
      <w:start w:val="1"/>
      <w:numFmt w:val="bullet"/>
      <w:lvlText w:val=""/>
      <w:lvlJc w:val="left"/>
      <w:pPr>
        <w:ind w:left="6480" w:hanging="360"/>
      </w:pPr>
      <w:rPr>
        <w:rFonts w:ascii="Wingdings" w:hAnsi="Wingdings" w:hint="default"/>
      </w:rPr>
    </w:lvl>
  </w:abstractNum>
  <w:abstractNum w:abstractNumId="1">
    <w:nsid w:val="4AA140A7"/>
    <w:multiLevelType w:val="hybridMultilevel"/>
    <w:tmpl w:val="18E20CF0"/>
    <w:lvl w:ilvl="0" w:tplc="984E958E">
      <w:start w:val="1"/>
      <w:numFmt w:val="bullet"/>
      <w:lvlText w:val=""/>
      <w:lvlJc w:val="left"/>
      <w:pPr>
        <w:ind w:left="720" w:hanging="360"/>
      </w:pPr>
      <w:rPr>
        <w:rFonts w:ascii="Symbol" w:hAnsi="Symbol" w:hint="default"/>
      </w:rPr>
    </w:lvl>
    <w:lvl w:ilvl="1" w:tplc="17265830">
      <w:start w:val="1"/>
      <w:numFmt w:val="bullet"/>
      <w:lvlText w:val="o"/>
      <w:lvlJc w:val="left"/>
      <w:pPr>
        <w:ind w:left="1440" w:hanging="360"/>
      </w:pPr>
      <w:rPr>
        <w:rFonts w:ascii="Courier New" w:hAnsi="Courier New" w:hint="default"/>
      </w:rPr>
    </w:lvl>
    <w:lvl w:ilvl="2" w:tplc="9A0412F6">
      <w:start w:val="1"/>
      <w:numFmt w:val="bullet"/>
      <w:lvlText w:val=""/>
      <w:lvlJc w:val="left"/>
      <w:pPr>
        <w:ind w:left="2160" w:hanging="360"/>
      </w:pPr>
      <w:rPr>
        <w:rFonts w:ascii="Wingdings" w:hAnsi="Wingdings" w:hint="default"/>
      </w:rPr>
    </w:lvl>
    <w:lvl w:ilvl="3" w:tplc="AD508004">
      <w:start w:val="1"/>
      <w:numFmt w:val="bullet"/>
      <w:lvlText w:val=""/>
      <w:lvlJc w:val="left"/>
      <w:pPr>
        <w:ind w:left="2880" w:hanging="360"/>
      </w:pPr>
      <w:rPr>
        <w:rFonts w:ascii="Symbol" w:hAnsi="Symbol" w:hint="default"/>
      </w:rPr>
    </w:lvl>
    <w:lvl w:ilvl="4" w:tplc="978678F6">
      <w:start w:val="1"/>
      <w:numFmt w:val="bullet"/>
      <w:lvlText w:val="o"/>
      <w:lvlJc w:val="left"/>
      <w:pPr>
        <w:ind w:left="3600" w:hanging="360"/>
      </w:pPr>
      <w:rPr>
        <w:rFonts w:ascii="Courier New" w:hAnsi="Courier New" w:hint="default"/>
      </w:rPr>
    </w:lvl>
    <w:lvl w:ilvl="5" w:tplc="EE6C2C9E">
      <w:start w:val="1"/>
      <w:numFmt w:val="bullet"/>
      <w:lvlText w:val=""/>
      <w:lvlJc w:val="left"/>
      <w:pPr>
        <w:ind w:left="4320" w:hanging="360"/>
      </w:pPr>
      <w:rPr>
        <w:rFonts w:ascii="Wingdings" w:hAnsi="Wingdings" w:hint="default"/>
      </w:rPr>
    </w:lvl>
    <w:lvl w:ilvl="6" w:tplc="19621BBA">
      <w:start w:val="1"/>
      <w:numFmt w:val="bullet"/>
      <w:lvlText w:val=""/>
      <w:lvlJc w:val="left"/>
      <w:pPr>
        <w:ind w:left="5040" w:hanging="360"/>
      </w:pPr>
      <w:rPr>
        <w:rFonts w:ascii="Symbol" w:hAnsi="Symbol" w:hint="default"/>
      </w:rPr>
    </w:lvl>
    <w:lvl w:ilvl="7" w:tplc="08C821C0">
      <w:start w:val="1"/>
      <w:numFmt w:val="bullet"/>
      <w:lvlText w:val="o"/>
      <w:lvlJc w:val="left"/>
      <w:pPr>
        <w:ind w:left="5760" w:hanging="360"/>
      </w:pPr>
      <w:rPr>
        <w:rFonts w:ascii="Courier New" w:hAnsi="Courier New" w:hint="default"/>
      </w:rPr>
    </w:lvl>
    <w:lvl w:ilvl="8" w:tplc="4A900680">
      <w:start w:val="1"/>
      <w:numFmt w:val="bullet"/>
      <w:lvlText w:val=""/>
      <w:lvlJc w:val="left"/>
      <w:pPr>
        <w:ind w:left="6480" w:hanging="360"/>
      </w:pPr>
      <w:rPr>
        <w:rFonts w:ascii="Wingdings" w:hAnsi="Wingdings" w:hint="default"/>
      </w:rPr>
    </w:lvl>
  </w:abstractNum>
  <w:abstractNum w:abstractNumId="2">
    <w:nsid w:val="58B1434A"/>
    <w:multiLevelType w:val="hybridMultilevel"/>
    <w:tmpl w:val="62C22D2A"/>
    <w:lvl w:ilvl="0" w:tplc="2F16D890">
      <w:start w:val="1"/>
      <w:numFmt w:val="bullet"/>
      <w:lvlText w:val=""/>
      <w:lvlJc w:val="left"/>
      <w:pPr>
        <w:ind w:left="720" w:hanging="360"/>
      </w:pPr>
      <w:rPr>
        <w:rFonts w:ascii="Symbol" w:hAnsi="Symbol" w:hint="default"/>
      </w:rPr>
    </w:lvl>
    <w:lvl w:ilvl="1" w:tplc="B96279E8">
      <w:start w:val="1"/>
      <w:numFmt w:val="bullet"/>
      <w:lvlText w:val="o"/>
      <w:lvlJc w:val="left"/>
      <w:pPr>
        <w:ind w:left="1440" w:hanging="360"/>
      </w:pPr>
      <w:rPr>
        <w:rFonts w:ascii="Courier New" w:hAnsi="Courier New" w:hint="default"/>
      </w:rPr>
    </w:lvl>
    <w:lvl w:ilvl="2" w:tplc="207CBA1C">
      <w:start w:val="1"/>
      <w:numFmt w:val="bullet"/>
      <w:lvlText w:val=""/>
      <w:lvlJc w:val="left"/>
      <w:pPr>
        <w:ind w:left="2160" w:hanging="360"/>
      </w:pPr>
      <w:rPr>
        <w:rFonts w:ascii="Wingdings" w:hAnsi="Wingdings" w:hint="default"/>
      </w:rPr>
    </w:lvl>
    <w:lvl w:ilvl="3" w:tplc="4D3415D0">
      <w:start w:val="1"/>
      <w:numFmt w:val="bullet"/>
      <w:lvlText w:val=""/>
      <w:lvlJc w:val="left"/>
      <w:pPr>
        <w:ind w:left="2880" w:hanging="360"/>
      </w:pPr>
      <w:rPr>
        <w:rFonts w:ascii="Symbol" w:hAnsi="Symbol" w:hint="default"/>
      </w:rPr>
    </w:lvl>
    <w:lvl w:ilvl="4" w:tplc="2304B5CA">
      <w:start w:val="1"/>
      <w:numFmt w:val="bullet"/>
      <w:lvlText w:val="o"/>
      <w:lvlJc w:val="left"/>
      <w:pPr>
        <w:ind w:left="3600" w:hanging="360"/>
      </w:pPr>
      <w:rPr>
        <w:rFonts w:ascii="Courier New" w:hAnsi="Courier New" w:hint="default"/>
      </w:rPr>
    </w:lvl>
    <w:lvl w:ilvl="5" w:tplc="7C0E868A">
      <w:start w:val="1"/>
      <w:numFmt w:val="bullet"/>
      <w:lvlText w:val=""/>
      <w:lvlJc w:val="left"/>
      <w:pPr>
        <w:ind w:left="4320" w:hanging="360"/>
      </w:pPr>
      <w:rPr>
        <w:rFonts w:ascii="Wingdings" w:hAnsi="Wingdings" w:hint="default"/>
      </w:rPr>
    </w:lvl>
    <w:lvl w:ilvl="6" w:tplc="BF640C42">
      <w:start w:val="1"/>
      <w:numFmt w:val="bullet"/>
      <w:lvlText w:val=""/>
      <w:lvlJc w:val="left"/>
      <w:pPr>
        <w:ind w:left="5040" w:hanging="360"/>
      </w:pPr>
      <w:rPr>
        <w:rFonts w:ascii="Symbol" w:hAnsi="Symbol" w:hint="default"/>
      </w:rPr>
    </w:lvl>
    <w:lvl w:ilvl="7" w:tplc="B45A6920">
      <w:start w:val="1"/>
      <w:numFmt w:val="bullet"/>
      <w:lvlText w:val="o"/>
      <w:lvlJc w:val="left"/>
      <w:pPr>
        <w:ind w:left="5760" w:hanging="360"/>
      </w:pPr>
      <w:rPr>
        <w:rFonts w:ascii="Courier New" w:hAnsi="Courier New" w:hint="default"/>
      </w:rPr>
    </w:lvl>
    <w:lvl w:ilvl="8" w:tplc="5E821630">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08"/>
  <w:hyphenationZone w:val="425"/>
  <w:characterSpacingControl w:val="doNotCompress"/>
  <w:footnotePr>
    <w:footnote w:id="-1"/>
    <w:footnote w:id="0"/>
  </w:footnotePr>
  <w:endnotePr>
    <w:endnote w:id="-1"/>
    <w:endnote w:id="0"/>
  </w:endnotePr>
  <w:compat/>
  <w:rsids>
    <w:rsidRoot w:val="60453C9D"/>
    <w:rsid w:val="001D7E14"/>
    <w:rsid w:val="0050322D"/>
    <w:rsid w:val="007C7426"/>
    <w:rsid w:val="008F7016"/>
    <w:rsid w:val="00A06049"/>
    <w:rsid w:val="00D524F2"/>
    <w:rsid w:val="00E9530C"/>
    <w:rsid w:val="02BEAAFE"/>
    <w:rsid w:val="04598571"/>
    <w:rsid w:val="04D87454"/>
    <w:rsid w:val="0586B414"/>
    <w:rsid w:val="058973FA"/>
    <w:rsid w:val="07E16552"/>
    <w:rsid w:val="0803FAA6"/>
    <w:rsid w:val="081EE1C6"/>
    <w:rsid w:val="085A0D22"/>
    <w:rsid w:val="088DD2A9"/>
    <w:rsid w:val="08E26BF6"/>
    <w:rsid w:val="0928F169"/>
    <w:rsid w:val="09EA3A06"/>
    <w:rsid w:val="0A2EA7EB"/>
    <w:rsid w:val="0A752201"/>
    <w:rsid w:val="0AA0B2BA"/>
    <w:rsid w:val="0B9848FD"/>
    <w:rsid w:val="0BC9C044"/>
    <w:rsid w:val="0C36D649"/>
    <w:rsid w:val="0C858D9C"/>
    <w:rsid w:val="0DED6027"/>
    <w:rsid w:val="0EB8A258"/>
    <w:rsid w:val="0ECC6B66"/>
    <w:rsid w:val="0F7ECFC8"/>
    <w:rsid w:val="0FE60C35"/>
    <w:rsid w:val="1071F591"/>
    <w:rsid w:val="10B90AAD"/>
    <w:rsid w:val="10E8F330"/>
    <w:rsid w:val="11173C1B"/>
    <w:rsid w:val="12EC5CF6"/>
    <w:rsid w:val="133DF679"/>
    <w:rsid w:val="137865D4"/>
    <w:rsid w:val="138B204B"/>
    <w:rsid w:val="13AD9156"/>
    <w:rsid w:val="1440CE8A"/>
    <w:rsid w:val="1561C46E"/>
    <w:rsid w:val="15B0AE17"/>
    <w:rsid w:val="16D6CD39"/>
    <w:rsid w:val="17D513E1"/>
    <w:rsid w:val="18236004"/>
    <w:rsid w:val="18FD6218"/>
    <w:rsid w:val="1965A8AC"/>
    <w:rsid w:val="19895D21"/>
    <w:rsid w:val="1A252776"/>
    <w:rsid w:val="1ACB1CF2"/>
    <w:rsid w:val="1ACCCDDF"/>
    <w:rsid w:val="1AF4A97D"/>
    <w:rsid w:val="1C14F06B"/>
    <w:rsid w:val="1CFFBEA3"/>
    <w:rsid w:val="1E6B127C"/>
    <w:rsid w:val="1EE186B1"/>
    <w:rsid w:val="200536A4"/>
    <w:rsid w:val="209B35BF"/>
    <w:rsid w:val="213036C0"/>
    <w:rsid w:val="21C190C0"/>
    <w:rsid w:val="21DD08BE"/>
    <w:rsid w:val="2204661E"/>
    <w:rsid w:val="2204A07C"/>
    <w:rsid w:val="22DBAF29"/>
    <w:rsid w:val="23341DDA"/>
    <w:rsid w:val="251F30FF"/>
    <w:rsid w:val="254BFEDC"/>
    <w:rsid w:val="25695A89"/>
    <w:rsid w:val="260FECFA"/>
    <w:rsid w:val="266F39A4"/>
    <w:rsid w:val="26CBA9D0"/>
    <w:rsid w:val="270F7652"/>
    <w:rsid w:val="273C5E3E"/>
    <w:rsid w:val="277CBB71"/>
    <w:rsid w:val="2783DB61"/>
    <w:rsid w:val="280CE557"/>
    <w:rsid w:val="28215452"/>
    <w:rsid w:val="28F1D03C"/>
    <w:rsid w:val="2A944DE6"/>
    <w:rsid w:val="2BEC200B"/>
    <w:rsid w:val="2C4D373C"/>
    <w:rsid w:val="2C602101"/>
    <w:rsid w:val="2C68405D"/>
    <w:rsid w:val="2DBBA574"/>
    <w:rsid w:val="2DDB9A16"/>
    <w:rsid w:val="2E139DA2"/>
    <w:rsid w:val="2E559F39"/>
    <w:rsid w:val="2EC26408"/>
    <w:rsid w:val="2EC5060C"/>
    <w:rsid w:val="31A743F4"/>
    <w:rsid w:val="32128BDD"/>
    <w:rsid w:val="325770BE"/>
    <w:rsid w:val="328C657C"/>
    <w:rsid w:val="33DC5A6C"/>
    <w:rsid w:val="340DB06A"/>
    <w:rsid w:val="34A8AB0A"/>
    <w:rsid w:val="3517A087"/>
    <w:rsid w:val="3765BEC2"/>
    <w:rsid w:val="39AE6696"/>
    <w:rsid w:val="3A3C8715"/>
    <w:rsid w:val="3B9F2646"/>
    <w:rsid w:val="3CF61C18"/>
    <w:rsid w:val="3D6A8E77"/>
    <w:rsid w:val="3DE03AD0"/>
    <w:rsid w:val="3E40E120"/>
    <w:rsid w:val="3EB559FF"/>
    <w:rsid w:val="3EC54EC8"/>
    <w:rsid w:val="3F18A5B1"/>
    <w:rsid w:val="3F1A6AD7"/>
    <w:rsid w:val="40C56AA3"/>
    <w:rsid w:val="40D920B0"/>
    <w:rsid w:val="4218613F"/>
    <w:rsid w:val="42309815"/>
    <w:rsid w:val="42471DA2"/>
    <w:rsid w:val="43824636"/>
    <w:rsid w:val="44256AF2"/>
    <w:rsid w:val="445DE1CF"/>
    <w:rsid w:val="4514E746"/>
    <w:rsid w:val="476FC294"/>
    <w:rsid w:val="479DEE51"/>
    <w:rsid w:val="480B5C94"/>
    <w:rsid w:val="48161DAA"/>
    <w:rsid w:val="493494AE"/>
    <w:rsid w:val="4986726E"/>
    <w:rsid w:val="499CD3B2"/>
    <w:rsid w:val="4AA07235"/>
    <w:rsid w:val="4B7EF417"/>
    <w:rsid w:val="4BA493CC"/>
    <w:rsid w:val="4BC177D6"/>
    <w:rsid w:val="4BE4619F"/>
    <w:rsid w:val="4BFAF40E"/>
    <w:rsid w:val="4D82736A"/>
    <w:rsid w:val="4D908591"/>
    <w:rsid w:val="4DB4FE90"/>
    <w:rsid w:val="4DFFA692"/>
    <w:rsid w:val="4EB47826"/>
    <w:rsid w:val="4F517450"/>
    <w:rsid w:val="4F63D123"/>
    <w:rsid w:val="502DDFD1"/>
    <w:rsid w:val="50E9F51D"/>
    <w:rsid w:val="520BC949"/>
    <w:rsid w:val="541A94E5"/>
    <w:rsid w:val="54352C26"/>
    <w:rsid w:val="554B76E6"/>
    <w:rsid w:val="566035CB"/>
    <w:rsid w:val="566A1E5D"/>
    <w:rsid w:val="56B5122C"/>
    <w:rsid w:val="56E9EB26"/>
    <w:rsid w:val="57A0BDFD"/>
    <w:rsid w:val="57D1FFD5"/>
    <w:rsid w:val="584B4A54"/>
    <w:rsid w:val="587880C3"/>
    <w:rsid w:val="58C5C2C8"/>
    <w:rsid w:val="5A3641AB"/>
    <w:rsid w:val="5AA6BBEE"/>
    <w:rsid w:val="5ABC4D23"/>
    <w:rsid w:val="5AD8B7C5"/>
    <w:rsid w:val="5BD6C5B7"/>
    <w:rsid w:val="5C1D18C9"/>
    <w:rsid w:val="5C2D42D7"/>
    <w:rsid w:val="5DD83B80"/>
    <w:rsid w:val="5ED6AFBD"/>
    <w:rsid w:val="5F625EC4"/>
    <w:rsid w:val="60453C9D"/>
    <w:rsid w:val="61C55706"/>
    <w:rsid w:val="629D41EC"/>
    <w:rsid w:val="62F5F648"/>
    <w:rsid w:val="6333BC09"/>
    <w:rsid w:val="6382C2F7"/>
    <w:rsid w:val="65C09231"/>
    <w:rsid w:val="65FA822E"/>
    <w:rsid w:val="669B06BC"/>
    <w:rsid w:val="66CAB24E"/>
    <w:rsid w:val="66F9F052"/>
    <w:rsid w:val="68635A47"/>
    <w:rsid w:val="690BC5CC"/>
    <w:rsid w:val="697BD9FF"/>
    <w:rsid w:val="6AB5710D"/>
    <w:rsid w:val="6AD7A644"/>
    <w:rsid w:val="6AFBC9BD"/>
    <w:rsid w:val="6B699E7F"/>
    <w:rsid w:val="6BF93FBA"/>
    <w:rsid w:val="6D63784E"/>
    <w:rsid w:val="6D710822"/>
    <w:rsid w:val="6D72BC0C"/>
    <w:rsid w:val="6D7DD144"/>
    <w:rsid w:val="6E0D7596"/>
    <w:rsid w:val="6E99FF2D"/>
    <w:rsid w:val="6EBFE02D"/>
    <w:rsid w:val="6F33C162"/>
    <w:rsid w:val="6F751BC0"/>
    <w:rsid w:val="702BDDA0"/>
    <w:rsid w:val="704F9080"/>
    <w:rsid w:val="713EFDEA"/>
    <w:rsid w:val="7322EBD3"/>
    <w:rsid w:val="73E357C8"/>
    <w:rsid w:val="74CDE7B4"/>
    <w:rsid w:val="759D5051"/>
    <w:rsid w:val="75A6C605"/>
    <w:rsid w:val="75B0D565"/>
    <w:rsid w:val="7667F5AF"/>
    <w:rsid w:val="7693BC33"/>
    <w:rsid w:val="769FB89A"/>
    <w:rsid w:val="7752F8B0"/>
    <w:rsid w:val="77F3D600"/>
    <w:rsid w:val="78E685F9"/>
    <w:rsid w:val="79A4AAEB"/>
    <w:rsid w:val="7B7DAC39"/>
    <w:rsid w:val="7BE0BA3B"/>
    <w:rsid w:val="7BE55ED2"/>
    <w:rsid w:val="7CAAB614"/>
    <w:rsid w:val="7D524923"/>
    <w:rsid w:val="7DB83ECF"/>
    <w:rsid w:val="7DBD3E01"/>
    <w:rsid w:val="7DBE23D3"/>
    <w:rsid w:val="7E1DFAA9"/>
    <w:rsid w:val="7FB6239B"/>
    <w:rsid w:val="7FFC716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4F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524F2"/>
    <w:rPr>
      <w:color w:val="0563C1" w:themeColor="hyperlink"/>
      <w:u w:val="single"/>
    </w:rPr>
  </w:style>
  <w:style w:type="table" w:styleId="Tablaconcuadrcula">
    <w:name w:val="Table Grid"/>
    <w:basedOn w:val="Tabla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rsid w:val="00D524F2"/>
  </w:style>
  <w:style w:type="paragraph" w:styleId="Encabezado">
    <w:name w:val="header"/>
    <w:basedOn w:val="Normal"/>
    <w:link w:val="EncabezadoCar"/>
    <w:uiPriority w:val="99"/>
    <w:unhideWhenUsed/>
    <w:rsid w:val="00D524F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524F2"/>
  </w:style>
  <w:style w:type="paragraph" w:styleId="Piedepgina">
    <w:name w:val="footer"/>
    <w:basedOn w:val="Normal"/>
    <w:link w:val="PiedepginaCar"/>
    <w:uiPriority w:val="99"/>
    <w:unhideWhenUsed/>
    <w:rsid w:val="00D524F2"/>
    <w:pPr>
      <w:tabs>
        <w:tab w:val="center" w:pos="4680"/>
        <w:tab w:val="right" w:pos="9360"/>
      </w:tabs>
      <w:spacing w:after="0" w:line="240" w:lineRule="auto"/>
    </w:pPr>
  </w:style>
  <w:style w:type="paragraph" w:styleId="Prrafodelista">
    <w:name w:val="List Paragraph"/>
    <w:basedOn w:val="Normal"/>
    <w:uiPriority w:val="34"/>
    <w:qFormat/>
    <w:rsid w:val="00D524F2"/>
    <w:pPr>
      <w:ind w:left="720"/>
      <w:contextualSpacing/>
    </w:pPr>
  </w:style>
  <w:style w:type="paragraph" w:styleId="Textodeglobo">
    <w:name w:val="Balloon Text"/>
    <w:basedOn w:val="Normal"/>
    <w:link w:val="TextodegloboCar"/>
    <w:uiPriority w:val="99"/>
    <w:semiHidden/>
    <w:unhideWhenUsed/>
    <w:rsid w:val="00E953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53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ES/TXT/HTML/?uri=CELEX:32019R1829&amp;from=ES" TargetMode="External"/><Relationship Id="rId18" Type="http://schemas.openxmlformats.org/officeDocument/2006/relationships/hyperlink" Target="http://eur-lex.europa.eu/legal-content/ES/TXT/HTML/?uri=CELEX:32015R1986&amp;from=ES" TargetMode="External"/><Relationship Id="rId26" Type="http://schemas.openxmlformats.org/officeDocument/2006/relationships/hyperlink" Target="http://www.boe.es/boe/dias/2013/12/10/pdfs/BOE-A-2013-12888.pdf" TargetMode="External"/><Relationship Id="rId39" Type="http://schemas.openxmlformats.org/officeDocument/2006/relationships/hyperlink" Target="https://www.boe.es/buscar/act.php?id=BOE-A-2020-3692" TargetMode="External"/><Relationship Id="rId21" Type="http://schemas.openxmlformats.org/officeDocument/2006/relationships/hyperlink" Target="https://www.boe.es/buscar/act.php?id=BOE-A-2017-12902" TargetMode="External"/><Relationship Id="rId34" Type="http://schemas.openxmlformats.org/officeDocument/2006/relationships/hyperlink" Target="https://www.boe.es/buscar/pdf/2008/BOE-A-2008-6804-consolidado.pdf" TargetMode="External"/><Relationship Id="rId42" Type="http://schemas.openxmlformats.org/officeDocument/2006/relationships/hyperlink" Target="https://www.boe.es/boe/dias/2020/03/18/pdfs/BOE-A-2020-3824.pdf" TargetMode="External"/><Relationship Id="rId47" Type="http://schemas.openxmlformats.org/officeDocument/2006/relationships/hyperlink" Target="http://www.dogv.gva.es/portal/ficha_disposicion.jsp?L=1&amp;sig=003265%2F2018" TargetMode="External"/><Relationship Id="rId50" Type="http://schemas.openxmlformats.org/officeDocument/2006/relationships/hyperlink" Target="https://www.hacienda.gob.es/es-ES/Areas%20Tematicas/Contratacion/Junta%20Consultiva%20de%20Contratacion%20Administrativa/Paginas/default.aspx" TargetMode="External"/><Relationship Id="rId55" Type="http://schemas.openxmlformats.org/officeDocument/2006/relationships/hyperlink" Target="https://contrataciondelestado.es/wps/portal/plataforma" TargetMode="External"/><Relationship Id="rId7" Type="http://schemas.openxmlformats.org/officeDocument/2006/relationships/hyperlink" Target="https://eur-lex.europa.eu/eli/dir/2014/23/oj" TargetMode="External"/><Relationship Id="rId12" Type="http://schemas.openxmlformats.org/officeDocument/2006/relationships/hyperlink" Target="http://eur-lex.europa.eu/legal-content/ES/TXT/PDF/?uri=CELEX:32016R0007&amp;from=ES" TargetMode="External"/><Relationship Id="rId17" Type="http://schemas.openxmlformats.org/officeDocument/2006/relationships/hyperlink" Target="http://eur-lex.europa.eu/legal-content/ES/TXT/HTML/?uri=CELEX:32017R2367&amp;from=ES" TargetMode="External"/><Relationship Id="rId25" Type="http://schemas.openxmlformats.org/officeDocument/2006/relationships/hyperlink" Target="https://www.hacienda.gob.es/Documentacion/Publico/PortalVarios/FAQ%20e_factura.pdf" TargetMode="External"/><Relationship Id="rId33" Type="http://schemas.openxmlformats.org/officeDocument/2006/relationships/hyperlink" Target="https://www.boe.es/boe/dias/2015/12/30/pdfs/BOE-A-2015-14268.pdf" TargetMode="External"/><Relationship Id="rId38" Type="http://schemas.openxmlformats.org/officeDocument/2006/relationships/hyperlink" Target="https://www.boe.es/boe/dias/2010/06/10/pdfs/BOE-A-2010-9186.pdf" TargetMode="External"/><Relationship Id="rId46" Type="http://schemas.openxmlformats.org/officeDocument/2006/relationships/hyperlink" Target="https://www.dogv.gva.es/datos/2017/02/02/pdf/2017_796.pdf"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ur-lex.europa.eu/legal-content/ES/TXT/HTML/?uri=CELEX:32017R2366&amp;from=ES" TargetMode="External"/><Relationship Id="rId20" Type="http://schemas.openxmlformats.org/officeDocument/2006/relationships/hyperlink" Target="http://eur-lex.europa.eu/LexUriServ/LexUriServ.do?uri=OJ:L:2013:335:0017:0018:ES:PDF" TargetMode="External"/><Relationship Id="rId29" Type="http://schemas.openxmlformats.org/officeDocument/2006/relationships/hyperlink" Target="https://www.boe.es/boe/dias/2001/10/26/pdfs/A39252-39371.pdf" TargetMode="External"/><Relationship Id="rId41" Type="http://schemas.openxmlformats.org/officeDocument/2006/relationships/hyperlink" Target="https://www.boe.es/buscar/act.php?id=BOE-A-2020-3580" TargetMode="External"/><Relationship Id="rId54" Type="http://schemas.openxmlformats.org/officeDocument/2006/relationships/hyperlink" Target="https://www.hacienda.gob.es/Documentacion/Publico/D.G.%20PATRIMONIO/Junta%20Consultiva/Reglamento%20CPV/cpv%20principa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ES/TXT/PDF/?uri=CELEX:32018R1807&amp;from=EN" TargetMode="External"/><Relationship Id="rId24" Type="http://schemas.openxmlformats.org/officeDocument/2006/relationships/hyperlink" Target="http://www.boe.es/boe/dias/2013/12/28/pdfs/BOE-A-2013-13722.pdf" TargetMode="External"/><Relationship Id="rId32" Type="http://schemas.openxmlformats.org/officeDocument/2006/relationships/hyperlink" Target="https://www.boe.es/boe/dias/2016/12/21/pdfs/BOE-A-2016-12115.pdf" TargetMode="External"/><Relationship Id="rId37" Type="http://schemas.openxmlformats.org/officeDocument/2006/relationships/hyperlink" Target="http://www.boe.es/diario_boe/txt.php?id=BOE-A-2017-15717" TargetMode="External"/><Relationship Id="rId40" Type="http://schemas.openxmlformats.org/officeDocument/2006/relationships/hyperlink" Target="https://contrataciondelestado.es/wps/wcm/connect/df058cd7-abff-4fce-a5af-a238efe2e164/Nota+informativa+RD+estado+de+alarma.pdf?MOD=AJPERES&amp;ContentCache=NONE" TargetMode="External"/><Relationship Id="rId45" Type="http://schemas.openxmlformats.org/officeDocument/2006/relationships/hyperlink" Target="https://www.boe.es/buscar/act.php?id=BOE-A-2020-4208" TargetMode="External"/><Relationship Id="rId53" Type="http://schemas.openxmlformats.org/officeDocument/2006/relationships/hyperlink" Target="https://www.hacienda.gob.es/Documentacion/Publico/D.G.%20PATRIMONIO/Junta%20Consultiva/Reglamento%20CPV/cpv%20suplementario.pdf"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ur-lex.europa.eu/legal-content/ES/TXT/HTML/?uri=CELEX:32017R2364&amp;from=ES" TargetMode="External"/><Relationship Id="rId23" Type="http://schemas.openxmlformats.org/officeDocument/2006/relationships/hyperlink" Target="https://www.boe.es/boe/dias/2019/12/06/pdfs/BOE-A-2019-17608.pdf" TargetMode="External"/><Relationship Id="rId28" Type="http://schemas.openxmlformats.org/officeDocument/2006/relationships/hyperlink" Target="https://www.boe.es/diario_boe/txt.php?id=BOE-A-2020-1651" TargetMode="External"/><Relationship Id="rId36" Type="http://schemas.openxmlformats.org/officeDocument/2006/relationships/hyperlink" Target="http://www.boe.es/buscar/act.php?id=BOE-A-2005-8835&amp;p=20050530&amp;tn=0&amp;lang=gl" TargetMode="External"/><Relationship Id="rId49" Type="http://schemas.openxmlformats.org/officeDocument/2006/relationships/hyperlink" Target="http://www.hisenda.gva.es/es/web/subsecretaria/contratacion-junta" TargetMode="External"/><Relationship Id="rId57" Type="http://schemas.openxmlformats.org/officeDocument/2006/relationships/footer" Target="footer1.xml"/><Relationship Id="rId10" Type="http://schemas.openxmlformats.org/officeDocument/2006/relationships/hyperlink" Target="https://www.boe.es/buscar/doc.php?id=DOUE-L-2011-80308" TargetMode="External"/><Relationship Id="rId19" Type="http://schemas.openxmlformats.org/officeDocument/2006/relationships/hyperlink" Target="http://eur-lex.europa.eu/LexUriServ/LexUriServ.do?uri=OJ:L:2008:074:0001:0375:ES:PDF" TargetMode="External"/><Relationship Id="rId31" Type="http://schemas.openxmlformats.org/officeDocument/2006/relationships/hyperlink" Target="https://www.boe.es/boe/dias/2008/05/01/pdfs/A22260-22264.pdf" TargetMode="External"/><Relationship Id="rId44" Type="http://schemas.openxmlformats.org/officeDocument/2006/relationships/hyperlink" Target="https://www.boe.es/buscar/act.php?id=BOE-A-2020-4166" TargetMode="External"/><Relationship Id="rId52" Type="http://schemas.openxmlformats.org/officeDocument/2006/relationships/hyperlink" Target="https://www.hacienda.gob.es/Documentacion/Publico/D.G.%20PATRIMONIO/Junta%20Consultiva/Reglamento%20CPV/Tabla%20correspondencia%20CPV%20Y%20NACE.pdf" TargetMode="External"/><Relationship Id="rId4" Type="http://schemas.openxmlformats.org/officeDocument/2006/relationships/webSettings" Target="webSettings.xml"/><Relationship Id="rId9" Type="http://schemas.openxmlformats.org/officeDocument/2006/relationships/hyperlink" Target="https://www.boe.es/buscar/doc.php?id=DOUE-L-2014-80599" TargetMode="External"/><Relationship Id="rId14" Type="http://schemas.openxmlformats.org/officeDocument/2006/relationships/hyperlink" Target="http://eur-lex.europa.eu/legal-content/ES/TXT/HTML/?uri=CELEX:32017R2365&amp;from=ES" TargetMode="External"/><Relationship Id="rId22" Type="http://schemas.openxmlformats.org/officeDocument/2006/relationships/hyperlink" Target="https://www.boe.es/boe/dias/2015/09/25/pdfs/BOE-A-2015-10304.pdf" TargetMode="External"/><Relationship Id="rId27" Type="http://schemas.openxmlformats.org/officeDocument/2006/relationships/hyperlink" Target="https://www.boe.es/boe/dias/2011/03/05/pdfs/BOE-A-2011-4117.pdf" TargetMode="External"/><Relationship Id="rId30" Type="http://schemas.openxmlformats.org/officeDocument/2006/relationships/hyperlink" Target="https://www.boe.es/eli/es/rd/2015/08/28/773/con" TargetMode="External"/><Relationship Id="rId35" Type="http://schemas.openxmlformats.org/officeDocument/2006/relationships/hyperlink" Target="https://contratacioncentralizada.gob.es/documents/11614/11800/Instrucci%C3%B3n+centralizaci%C3%B3n+contratos.pdf/833786d8-41ac-40ef-87f0-65fa71677d67" TargetMode="External"/><Relationship Id="rId43" Type="http://schemas.openxmlformats.org/officeDocument/2006/relationships/hyperlink" Target="https://www.boe.es/buscar/act.php?id=BOE-A-2020-4152" TargetMode="External"/><Relationship Id="rId48" Type="http://schemas.openxmlformats.org/officeDocument/2006/relationships/hyperlink" Target="https://www.dogv.gva.es/datos/2016/08/17/pdf/2016_6595.pdf" TargetMode="External"/><Relationship Id="rId56" Type="http://schemas.openxmlformats.org/officeDocument/2006/relationships/header" Target="header1.xml"/><Relationship Id="rId8" Type="http://schemas.openxmlformats.org/officeDocument/2006/relationships/hyperlink" Target="http://eur-lex.europa.eu/legal-content/ES/TXT/PDF/?uri=CELEX:32014L0024" TargetMode="External"/><Relationship Id="rId51" Type="http://schemas.openxmlformats.org/officeDocument/2006/relationships/hyperlink" Target="https://www.hacienda.gob.es/Documentacion/Publico/D.G.%20PATRIMONIO/Junta%20Consultiva/Reglamento%20CPV/Reglamento%20CPV.pdf"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2435</Words>
  <Characters>13393</Characters>
  <Application>Microsoft Office Word</Application>
  <DocSecurity>0</DocSecurity>
  <Lines>111</Lines>
  <Paragraphs>31</Paragraphs>
  <ScaleCrop>false</ScaleCrop>
  <Company>Academia Marín</Company>
  <LinksUpToDate>false</LinksUpToDate>
  <CharactersWithSpaces>15797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Natividad Chesa Ferrer</dc:creator>
  <cp:lastModifiedBy>AcademiaMarin</cp:lastModifiedBy>
  <cp:revision>2</cp:revision>
  <dcterms:created xsi:type="dcterms:W3CDTF">2020-04-08T11:27:00Z</dcterms:created>
  <dcterms:modified xsi:type="dcterms:W3CDTF">2020-04-08T11:27:00Z</dcterms:modified>
</cp:coreProperties>
</file>